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E3749" w14:textId="70F0F109" w:rsidR="002D66A0" w:rsidRPr="00185D20" w:rsidRDefault="00185D20" w:rsidP="00185D20">
      <w:pPr>
        <w:pStyle w:val="Titre1"/>
      </w:pPr>
      <w:bookmarkStart w:id="0" w:name="_Hlk81561784"/>
      <w:r>
        <w:t>Protocole</w:t>
      </w:r>
      <w:bookmarkStart w:id="1" w:name="_GoBack"/>
      <w:bookmarkEnd w:id="1"/>
    </w:p>
    <w:p w14:paraId="020BD59F" w14:textId="77777777" w:rsidR="002D66A0" w:rsidRPr="00986F75" w:rsidRDefault="002D66A0" w:rsidP="00A446BC">
      <w:pPr>
        <w:pStyle w:val="Titre2"/>
      </w:pPr>
      <w:r w:rsidRPr="00986F75">
        <w:t xml:space="preserve">Textes et </w:t>
      </w:r>
      <w:r w:rsidRPr="00A446BC">
        <w:t>ressources</w:t>
      </w:r>
    </w:p>
    <w:p w14:paraId="4AABE9C4" w14:textId="7350BF88" w:rsidR="00185D20" w:rsidRPr="0007051D" w:rsidRDefault="00185D20" w:rsidP="00185D20">
      <w:pPr>
        <w:spacing w:after="80"/>
        <w:rPr>
          <w:rStyle w:val="Accentuationlgre"/>
          <w:sz w:val="20"/>
          <w:szCs w:val="20"/>
        </w:rPr>
      </w:pPr>
      <w:r w:rsidRPr="0007051D">
        <w:rPr>
          <w:rStyle w:val="Accentuationlgre"/>
          <w:sz w:val="20"/>
          <w:szCs w:val="20"/>
        </w:rPr>
        <w:t>Loi n° 2005-102 du 11 février 2005 pour l’égalité des droits et des chances, la participation et la citoyenneté des personnes handicapées</w:t>
      </w:r>
    </w:p>
    <w:p w14:paraId="4033D80C" w14:textId="07A1D316" w:rsidR="00185D20" w:rsidRPr="0007051D" w:rsidRDefault="00185D20" w:rsidP="00185D20">
      <w:pPr>
        <w:spacing w:after="80"/>
        <w:rPr>
          <w:rStyle w:val="Accentuationlgre"/>
          <w:sz w:val="20"/>
          <w:szCs w:val="20"/>
        </w:rPr>
      </w:pPr>
      <w:r w:rsidRPr="0007051D">
        <w:rPr>
          <w:rStyle w:val="Accentuationlgre"/>
          <w:sz w:val="20"/>
          <w:szCs w:val="20"/>
        </w:rPr>
        <w:t xml:space="preserve">Loi n° 2019-791 du 26 juillet 2019 pour une École de la confiance </w:t>
      </w:r>
    </w:p>
    <w:p w14:paraId="1FF42804" w14:textId="662B9CA6" w:rsidR="00185D20" w:rsidRPr="0007051D" w:rsidRDefault="00185D20" w:rsidP="00185D20">
      <w:pPr>
        <w:spacing w:after="80"/>
        <w:rPr>
          <w:rStyle w:val="Accentuationlgre"/>
          <w:sz w:val="20"/>
          <w:szCs w:val="20"/>
        </w:rPr>
      </w:pPr>
      <w:r w:rsidRPr="0007051D">
        <w:rPr>
          <w:rStyle w:val="Accentuationlgre"/>
          <w:sz w:val="20"/>
          <w:szCs w:val="20"/>
        </w:rPr>
        <w:t>Articles D. 351-3 à D. 351-20 du code de l’Education précisant les modalités de mise en œuvre des parcours de formation des élèves présentant un handicap</w:t>
      </w:r>
    </w:p>
    <w:p w14:paraId="74AFEB41" w14:textId="32258C35" w:rsidR="00185D20" w:rsidRPr="0007051D" w:rsidRDefault="00185D20" w:rsidP="00185D20">
      <w:pPr>
        <w:spacing w:after="80"/>
        <w:rPr>
          <w:rStyle w:val="Accentuationlgre"/>
          <w:sz w:val="20"/>
          <w:szCs w:val="20"/>
        </w:rPr>
      </w:pPr>
      <w:r w:rsidRPr="0007051D">
        <w:rPr>
          <w:rStyle w:val="Accentuationlgre"/>
          <w:sz w:val="20"/>
          <w:szCs w:val="20"/>
        </w:rPr>
        <w:t xml:space="preserve">Circulaire n° 2015-129 du 21 août 2015 relative aux unités localisées pour l’inclusion scolaire, dispositifs pour la scolarisation des élèves en situation de handicap dans le premier et second degré (BO n° 31 du 27/08/2015) </w:t>
      </w:r>
    </w:p>
    <w:p w14:paraId="605489B0" w14:textId="13F03162" w:rsidR="002D66A0" w:rsidRPr="0007051D" w:rsidRDefault="00185D20" w:rsidP="00185D20">
      <w:pPr>
        <w:spacing w:after="80"/>
        <w:rPr>
          <w:rStyle w:val="Accentuationlgre"/>
          <w:sz w:val="20"/>
          <w:szCs w:val="20"/>
        </w:rPr>
      </w:pPr>
      <w:r w:rsidRPr="0007051D">
        <w:rPr>
          <w:rStyle w:val="Accentuationlgre"/>
          <w:sz w:val="20"/>
          <w:szCs w:val="20"/>
        </w:rPr>
        <w:t>Circulaire n° 2016-186 du 30 novembre 2016 relative à la formation et à l’insertion professionnelle des élèves en situation de handicap (BO n° 45 du 8/12/2016)</w:t>
      </w:r>
    </w:p>
    <w:p w14:paraId="10C0634D" w14:textId="74783F0E" w:rsidR="002D66A0" w:rsidRDefault="00185D20" w:rsidP="00986F75">
      <w:pPr>
        <w:pStyle w:val="Titre2"/>
      </w:pPr>
      <w:r w:rsidRPr="00185D20">
        <w:t>L’U</w:t>
      </w:r>
      <w:r>
        <w:t>lis</w:t>
      </w:r>
      <w:r w:rsidRPr="00185D20">
        <w:t xml:space="preserve"> : un dispositif ouvert de scolarisation</w:t>
      </w:r>
    </w:p>
    <w:p w14:paraId="6B0ECF9D" w14:textId="77777777" w:rsidR="00185D20" w:rsidRDefault="00185D20" w:rsidP="00DD6D31">
      <w:pPr>
        <w:spacing w:after="0"/>
      </w:pPr>
      <w:r>
        <w:t xml:space="preserve">Les unités localisées pour l’inclusion scolaire implantées en école, en collège ou en lycée d’enseignement général et technique et en lycée professionnel, constituent une des modalités de mise en œuvre de l’accessibilité pédagogique pour les élèves en situation de handicap ou présentant un trouble de santé invalidant. </w:t>
      </w:r>
    </w:p>
    <w:p w14:paraId="4417F71E" w14:textId="7C7A3E89" w:rsidR="00185D20" w:rsidRDefault="00185D20" w:rsidP="00DD6D31">
      <w:r>
        <w:t>Les élèves orientés en U</w:t>
      </w:r>
      <w:r w:rsidR="00D126E9">
        <w:t>lis</w:t>
      </w:r>
      <w:r>
        <w:t xml:space="preserve"> sont ceux qui, en plus des aménagements et adaptations pédagogiques et des mesures de compensation mis en œuvre par les équipes éducatives, nécessitent un enseignement adapté dans le cadre de regroupements.</w:t>
      </w:r>
    </w:p>
    <w:p w14:paraId="2A79E2E2" w14:textId="3BF474C4" w:rsidR="00185D20" w:rsidRPr="00B848B7" w:rsidRDefault="00185D20" w:rsidP="00A03C74">
      <w:pPr>
        <w:shd w:val="clear" w:color="auto" w:fill="D7EBE2" w:themeFill="accent1" w:themeFillTint="33"/>
        <w:spacing w:after="0" w:line="240" w:lineRule="auto"/>
        <w:rPr>
          <w:bCs/>
          <w:i/>
          <w:szCs w:val="20"/>
        </w:rPr>
      </w:pPr>
      <w:r w:rsidRPr="00B848B7">
        <w:rPr>
          <w:bCs/>
          <w:i/>
          <w:szCs w:val="20"/>
        </w:rPr>
        <w:t>Les U</w:t>
      </w:r>
      <w:r w:rsidR="00D126E9" w:rsidRPr="00B848B7">
        <w:rPr>
          <w:bCs/>
          <w:i/>
          <w:szCs w:val="20"/>
        </w:rPr>
        <w:t>lis</w:t>
      </w:r>
      <w:r w:rsidRPr="00B848B7">
        <w:rPr>
          <w:bCs/>
          <w:i/>
          <w:szCs w:val="20"/>
        </w:rPr>
        <w:t xml:space="preserve"> constituent, en milieu scolaire ordinaire, des dispositifs ouverts</w:t>
      </w:r>
      <w:r w:rsidR="00A03C74">
        <w:rPr>
          <w:bCs/>
          <w:i/>
          <w:szCs w:val="20"/>
        </w:rPr>
        <w:t xml:space="preserve"> </w:t>
      </w:r>
      <w:r w:rsidRPr="00B848B7">
        <w:rPr>
          <w:bCs/>
          <w:i/>
          <w:szCs w:val="20"/>
        </w:rPr>
        <w:t>offrant des possibilités d’apprentissage souples et diversifiées.</w:t>
      </w:r>
    </w:p>
    <w:p w14:paraId="5E8BCA79" w14:textId="32BDD9F3" w:rsidR="00FC16B9" w:rsidRDefault="00FC16B9" w:rsidP="00FC16B9">
      <w:pPr>
        <w:pStyle w:val="Titre2"/>
      </w:pPr>
      <w:r w:rsidRPr="00FC16B9">
        <w:t>L’</w:t>
      </w:r>
      <w:r>
        <w:t>Ulis</w:t>
      </w:r>
      <w:r w:rsidRPr="00FC16B9">
        <w:t xml:space="preserve"> : un maillage académique </w:t>
      </w:r>
    </w:p>
    <w:p w14:paraId="13D75767" w14:textId="550E4F55" w:rsidR="00FC16B9" w:rsidRPr="00FC16B9" w:rsidRDefault="00FC16B9" w:rsidP="00FC16B9">
      <w:r w:rsidRPr="00FC16B9">
        <w:t>L’U</w:t>
      </w:r>
      <w:r>
        <w:t>lis</w:t>
      </w:r>
      <w:r w:rsidRPr="00FC16B9">
        <w:t xml:space="preserve"> correspond à une réponse adaptée aux besoins de certains élèves en situation de handicap présentant des :</w:t>
      </w:r>
    </w:p>
    <w:p w14:paraId="4740B653" w14:textId="66BEA619" w:rsidR="00FC16B9" w:rsidRPr="00FC16B9" w:rsidRDefault="00FC16B9" w:rsidP="00473D5F">
      <w:pPr>
        <w:tabs>
          <w:tab w:val="left" w:pos="1985"/>
        </w:tabs>
        <w:spacing w:after="0"/>
        <w:ind w:left="993"/>
      </w:pPr>
      <w:r w:rsidRPr="00FC16B9">
        <w:t>TFC</w:t>
      </w:r>
      <w:r w:rsidR="00473D5F">
        <w:tab/>
      </w:r>
      <w:r w:rsidRPr="00FC16B9">
        <w:t>troubles des fonctions cognitives ou mentales</w:t>
      </w:r>
    </w:p>
    <w:p w14:paraId="189F78EE" w14:textId="6E8C030E" w:rsidR="00FC16B9" w:rsidRPr="00FC16B9" w:rsidRDefault="00FC16B9" w:rsidP="00473D5F">
      <w:pPr>
        <w:tabs>
          <w:tab w:val="left" w:pos="1985"/>
        </w:tabs>
        <w:spacing w:after="0"/>
        <w:ind w:left="993"/>
      </w:pPr>
      <w:r w:rsidRPr="00FC16B9">
        <w:t>TSLA</w:t>
      </w:r>
      <w:r w:rsidR="00473D5F">
        <w:tab/>
      </w:r>
      <w:r w:rsidRPr="00FC16B9">
        <w:t>troubles spécifiques du langage et des apprentissages</w:t>
      </w:r>
    </w:p>
    <w:p w14:paraId="38EEEFB8" w14:textId="132EA7F1" w:rsidR="00FC16B9" w:rsidRPr="00FC16B9" w:rsidRDefault="00FC16B9" w:rsidP="00473D5F">
      <w:pPr>
        <w:tabs>
          <w:tab w:val="left" w:pos="1985"/>
        </w:tabs>
        <w:spacing w:after="0"/>
        <w:ind w:left="993"/>
      </w:pPr>
      <w:r w:rsidRPr="00FC16B9">
        <w:t>TED/TSA</w:t>
      </w:r>
      <w:r w:rsidR="00473D5F">
        <w:tab/>
      </w:r>
      <w:r w:rsidRPr="00FC16B9">
        <w:t xml:space="preserve">troubles envahissants du développement ou troubles du spectre autistique </w:t>
      </w:r>
    </w:p>
    <w:p w14:paraId="416F3498" w14:textId="455F3C6B" w:rsidR="00FC16B9" w:rsidRPr="00FC16B9" w:rsidRDefault="00FC16B9" w:rsidP="00473D5F">
      <w:pPr>
        <w:tabs>
          <w:tab w:val="left" w:pos="1985"/>
        </w:tabs>
        <w:spacing w:after="0"/>
        <w:ind w:left="993"/>
      </w:pPr>
      <w:r w:rsidRPr="00FC16B9">
        <w:t>TFM</w:t>
      </w:r>
      <w:r w:rsidR="00473D5F">
        <w:tab/>
      </w:r>
      <w:r w:rsidRPr="00FC16B9">
        <w:t xml:space="preserve">troubles des fonctions motrices </w:t>
      </w:r>
    </w:p>
    <w:p w14:paraId="62418162" w14:textId="5FBE6E0A" w:rsidR="00FC16B9" w:rsidRPr="00FC16B9" w:rsidRDefault="00FC16B9" w:rsidP="00473D5F">
      <w:pPr>
        <w:tabs>
          <w:tab w:val="left" w:pos="1985"/>
        </w:tabs>
        <w:spacing w:after="0"/>
        <w:ind w:left="993"/>
      </w:pPr>
      <w:r w:rsidRPr="00FC16B9">
        <w:t>TFA</w:t>
      </w:r>
      <w:r w:rsidR="00473D5F">
        <w:tab/>
      </w:r>
      <w:r w:rsidRPr="00FC16B9">
        <w:t xml:space="preserve">troubles de la fonction auditive </w:t>
      </w:r>
    </w:p>
    <w:p w14:paraId="060D8876" w14:textId="422DF49D" w:rsidR="00FC16B9" w:rsidRPr="00FC16B9" w:rsidRDefault="00FC16B9" w:rsidP="00473D5F">
      <w:pPr>
        <w:tabs>
          <w:tab w:val="left" w:pos="1985"/>
        </w:tabs>
        <w:spacing w:after="0"/>
        <w:ind w:left="993"/>
      </w:pPr>
      <w:r w:rsidRPr="00FC16B9">
        <w:t>TFV</w:t>
      </w:r>
      <w:r w:rsidR="00473D5F">
        <w:tab/>
      </w:r>
      <w:r w:rsidRPr="00FC16B9">
        <w:t xml:space="preserve">troubles de la fonction visuelle </w:t>
      </w:r>
    </w:p>
    <w:p w14:paraId="2F2A32F5" w14:textId="05E731F4" w:rsidR="00FC16B9" w:rsidRPr="00FC16B9" w:rsidRDefault="00FC16B9" w:rsidP="00473D5F">
      <w:pPr>
        <w:tabs>
          <w:tab w:val="left" w:pos="1985"/>
        </w:tabs>
        <w:ind w:left="992"/>
      </w:pPr>
      <w:r w:rsidRPr="00FC16B9">
        <w:t>TMA</w:t>
      </w:r>
      <w:r w:rsidR="00473D5F">
        <w:tab/>
      </w:r>
      <w:r w:rsidRPr="00FC16B9">
        <w:t>troubles multiples associés (pluri-handicap ou maladie invalidante).</w:t>
      </w:r>
    </w:p>
    <w:p w14:paraId="356CA2F4" w14:textId="1BF3E528" w:rsidR="00FC16B9" w:rsidRPr="008F43CE" w:rsidRDefault="00FC16B9" w:rsidP="008F43CE">
      <w:pPr>
        <w:shd w:val="clear" w:color="auto" w:fill="D7EBE2" w:themeFill="accent1" w:themeFillTint="33"/>
        <w:spacing w:after="0"/>
        <w:rPr>
          <w:i/>
          <w:iCs/>
        </w:rPr>
      </w:pPr>
      <w:r w:rsidRPr="008F43CE">
        <w:rPr>
          <w:i/>
          <w:iCs/>
        </w:rPr>
        <w:t>Ces dénominations ne constituent pas pour les U</w:t>
      </w:r>
      <w:r w:rsidR="00D126E9" w:rsidRPr="008F43CE">
        <w:rPr>
          <w:i/>
          <w:iCs/>
        </w:rPr>
        <w:t>lis</w:t>
      </w:r>
      <w:r w:rsidRPr="008F43CE">
        <w:rPr>
          <w:i/>
          <w:iCs/>
        </w:rPr>
        <w:t>, une nomenclature</w:t>
      </w:r>
      <w:r w:rsidR="00A03C74" w:rsidRPr="008F43CE">
        <w:rPr>
          <w:i/>
          <w:iCs/>
        </w:rPr>
        <w:t xml:space="preserve"> </w:t>
      </w:r>
      <w:r w:rsidRPr="008F43CE">
        <w:rPr>
          <w:i/>
          <w:iCs/>
        </w:rPr>
        <w:t>administrative mais les grands axes de leur organisation.</w:t>
      </w:r>
    </w:p>
    <w:p w14:paraId="78EA4E16" w14:textId="4FC2A2CB" w:rsidR="009A49B8" w:rsidRDefault="009A49B8" w:rsidP="009A49B8">
      <w:pPr>
        <w:pStyle w:val="Titre2"/>
      </w:pPr>
      <w:r w:rsidRPr="009A49B8">
        <w:t>La constitution</w:t>
      </w:r>
    </w:p>
    <w:p w14:paraId="5F004C1D" w14:textId="57538858" w:rsidR="009A49B8" w:rsidRDefault="009A49B8" w:rsidP="009A49B8">
      <w:r>
        <w:t>L’U</w:t>
      </w:r>
      <w:r w:rsidR="00D126E9">
        <w:t>lis</w:t>
      </w:r>
      <w:r>
        <w:t xml:space="preserve"> offre aux élèves orientés la possibilité de poursuivre en inclusion des apprentissages adaptés à leurs potentialités et à leurs besoins et d’acquérir des compétences sociales et scolaires, même lorsqu’ils sont très réduits.</w:t>
      </w:r>
    </w:p>
    <w:p w14:paraId="05093D6B" w14:textId="35DC419F" w:rsidR="009A49B8" w:rsidRDefault="009A49B8" w:rsidP="009A49B8">
      <w:r>
        <w:t>La constitution d’un groupe d’élèves d’une U</w:t>
      </w:r>
      <w:r w:rsidR="00D126E9">
        <w:t>lis</w:t>
      </w:r>
      <w:r>
        <w:t xml:space="preserve"> ne doit pas viser une homogénéité absolue des élèves mais une compatibilité de leurs besoins et de leurs objectifs d’apprentissage.</w:t>
      </w:r>
    </w:p>
    <w:p w14:paraId="7ED99A3D" w14:textId="6FD54A43" w:rsidR="009A49B8" w:rsidRDefault="009A49B8" w:rsidP="009A49B8">
      <w:r>
        <w:lastRenderedPageBreak/>
        <w:t>L’orientation en U</w:t>
      </w:r>
      <w:r w:rsidR="00D126E9">
        <w:t>lis</w:t>
      </w:r>
      <w:r>
        <w:t xml:space="preserve"> ne répond pas aux besoins des élèves qui nécessitent sur tous les temps de scolarisation, y compris sur les temps de regroupement, l’accompagnement par une personne chargée d’une aide humaine individuelle ou mutualisée sauf pour un accompagnement induit par la nécessité de soins physiologiques permanents.</w:t>
      </w:r>
    </w:p>
    <w:p w14:paraId="43697F17" w14:textId="0EE03D34" w:rsidR="009A49B8" w:rsidRPr="008F43CE" w:rsidRDefault="009A49B8" w:rsidP="00A03C74">
      <w:pPr>
        <w:shd w:val="clear" w:color="auto" w:fill="D7EBE2" w:themeFill="accent1" w:themeFillTint="33"/>
        <w:spacing w:after="0"/>
        <w:rPr>
          <w:i/>
          <w:iCs/>
        </w:rPr>
      </w:pPr>
      <w:r w:rsidRPr="008F43CE">
        <w:rPr>
          <w:i/>
          <w:iCs/>
        </w:rPr>
        <w:t>La constitution des groupes d’élèves conditionne une</w:t>
      </w:r>
      <w:r w:rsidR="00A03C74" w:rsidRPr="008F43CE">
        <w:rPr>
          <w:i/>
          <w:iCs/>
        </w:rPr>
        <w:t xml:space="preserve"> </w:t>
      </w:r>
      <w:r w:rsidRPr="008F43CE">
        <w:rPr>
          <w:i/>
          <w:iCs/>
        </w:rPr>
        <w:t>véritable dynamique pédagogique au sein du dispositif.</w:t>
      </w:r>
    </w:p>
    <w:p w14:paraId="3C80EEB9" w14:textId="77777777" w:rsidR="009A49B8" w:rsidRPr="009A49B8" w:rsidRDefault="009A49B8" w:rsidP="009A49B8">
      <w:pPr>
        <w:pStyle w:val="Titre2"/>
      </w:pPr>
      <w:r w:rsidRPr="009A49B8">
        <w:t>L’orientation et l’affectations des élèves</w:t>
      </w:r>
    </w:p>
    <w:p w14:paraId="6681FF67" w14:textId="56F82602" w:rsidR="009A49B8" w:rsidRDefault="009A49B8" w:rsidP="009A49B8">
      <w:r>
        <w:t>L’orientation d’un élève en situation de handicap dans un établissement scolaire au titre d’une U</w:t>
      </w:r>
      <w:r w:rsidR="00D126E9">
        <w:t>lis</w:t>
      </w:r>
      <w:r>
        <w:t xml:space="preserve"> nécessite obligatoirement une décision de la commission des droits et de l’autonomie des personnes handicapées (CDA-PH) de la maison départementale des personnes handicapées (MDPH) dans son projet personnalisé de scolarisation (PPS).</w:t>
      </w:r>
    </w:p>
    <w:p w14:paraId="5ED4E2A5" w14:textId="17BA880E" w:rsidR="009A49B8" w:rsidRDefault="009A49B8" w:rsidP="009A49B8">
      <w:r>
        <w:t>Plus encore que pour les autres élèves, la réussite des phases d’orientation engagées par le coordonnateur en étroite collaboration avec les acteurs de la scolarisation dont les psychologues de l’Education nationale, doit donner lieu à une préparation spécifique. Ces éléments dédiés au volet orientation sont constitutifs du bilan réalisé lors de la réunion de l’équipe de suivi de scolarisation (ESS). Ils sont transmis à la commission des droits et de l’autonomie des personnes handicapées (CDA-PH) dans le cadre du réexamen du guide d’évaluation scolaire (GEVA-</w:t>
      </w:r>
      <w:proofErr w:type="spellStart"/>
      <w:r>
        <w:t>Sco</w:t>
      </w:r>
      <w:proofErr w:type="spellEnd"/>
      <w:r>
        <w:t>).</w:t>
      </w:r>
    </w:p>
    <w:p w14:paraId="4CAAC069" w14:textId="67C02325" w:rsidR="009A49B8" w:rsidRDefault="009A49B8" w:rsidP="008F43CE">
      <w:r>
        <w:t>Les projets de formation des élèves souhaitant bénéficier d’une U</w:t>
      </w:r>
      <w:r w:rsidR="00D126E9">
        <w:t>lis</w:t>
      </w:r>
      <w:r>
        <w:t xml:space="preserve"> en lycée professionnel sont transmis à la commission spécifique départementale sous forme d’un tableau formalisé la dernière année de collège.</w:t>
      </w:r>
    </w:p>
    <w:p w14:paraId="346C7741" w14:textId="6F6768FA" w:rsidR="009A49B8" w:rsidRPr="008F43CE" w:rsidRDefault="009A49B8" w:rsidP="00A03C74">
      <w:pPr>
        <w:shd w:val="clear" w:color="auto" w:fill="D7EBE2" w:themeFill="accent1" w:themeFillTint="33"/>
        <w:rPr>
          <w:i/>
          <w:iCs/>
        </w:rPr>
      </w:pPr>
      <w:r w:rsidRPr="008F43CE">
        <w:rPr>
          <w:i/>
          <w:iCs/>
        </w:rPr>
        <w:t>Les décisions d’affectation des élèves orientés en U</w:t>
      </w:r>
      <w:r w:rsidR="00D126E9" w:rsidRPr="008F43CE">
        <w:rPr>
          <w:i/>
          <w:iCs/>
        </w:rPr>
        <w:t>lis</w:t>
      </w:r>
      <w:r w:rsidRPr="008F43CE">
        <w:rPr>
          <w:i/>
          <w:iCs/>
        </w:rPr>
        <w:t xml:space="preserve"> pour les établissements d’enseignement public sont arrêtées dans le cadre de commission départementale au titre des procédures d’orientation et d’affectation mises en place par les directions académiques des services de l’éducation nationale. Ces affectations doivent clairement mentionner la classe de référence suivie par l’élève : niveau et formation.</w:t>
      </w:r>
    </w:p>
    <w:p w14:paraId="4027CC9C" w14:textId="77777777" w:rsidR="009A49B8" w:rsidRDefault="009A49B8" w:rsidP="008F43CE">
      <w:r>
        <w:t>Le parcours scolaire avec le dispositif collectif pourra être prolongé si cela répond aux besoins exprimés dans le projet personnalisé de scolarisation.</w:t>
      </w:r>
    </w:p>
    <w:p w14:paraId="33BA4C7B" w14:textId="42E8684A" w:rsidR="002D66A0" w:rsidRDefault="009A49B8" w:rsidP="00986F75">
      <w:pPr>
        <w:pStyle w:val="Titre2"/>
      </w:pPr>
      <w:r w:rsidRPr="009A49B8">
        <w:t>L’organisation pédagogique</w:t>
      </w:r>
    </w:p>
    <w:p w14:paraId="4DF0B9A4" w14:textId="647B09A9" w:rsidR="009D0D65" w:rsidRDefault="009D0D65" w:rsidP="00DD6D31">
      <w:pPr>
        <w:spacing w:after="0"/>
      </w:pPr>
      <w:r>
        <w:t>L'organisation pédagogique de l'U</w:t>
      </w:r>
      <w:r w:rsidR="00D126E9">
        <w:t>lis</w:t>
      </w:r>
      <w:r>
        <w:t xml:space="preserve"> relève d'un co-pilotage entre l'IEN-ASH, l'IEN de circonscription ou le chef d'établissement. Elle est placée sous la responsabilité du directeur de l'école ou du chef d'établissement qui procède à l’inscription des élèves.</w:t>
      </w:r>
    </w:p>
    <w:p w14:paraId="270EB3E1" w14:textId="1935B657" w:rsidR="009D0D65" w:rsidRDefault="009D0D65" w:rsidP="00DD6D31">
      <w:pPr>
        <w:spacing w:after="0"/>
      </w:pPr>
      <w:r>
        <w:t>Dans le 2</w:t>
      </w:r>
      <w:r w:rsidRPr="006A5663">
        <w:rPr>
          <w:vertAlign w:val="superscript"/>
        </w:rPr>
        <w:t>nd</w:t>
      </w:r>
      <w:r w:rsidR="006A5663">
        <w:t xml:space="preserve"> </w:t>
      </w:r>
      <w:r>
        <w:t>degré, dans la mesure où les élèves sont scolarisés dans leur classe de référence, ils seront rattachés à une division multi-MEF dont la procédure est précisée chaque année dans la note technique de la DAES.</w:t>
      </w:r>
    </w:p>
    <w:p w14:paraId="7A177668" w14:textId="79E9B9D8" w:rsidR="009D0D65" w:rsidRDefault="009D0D65" w:rsidP="009D0D65">
      <w:pPr>
        <w:pStyle w:val="Paragraphedeliste"/>
        <w:numPr>
          <w:ilvl w:val="0"/>
          <w:numId w:val="8"/>
        </w:numPr>
      </w:pPr>
      <w:r>
        <w:t xml:space="preserve">Au niveau des collèges, les modules élémentaires de formation (MEF) sont déclinés par niveau : 6EULIS, 5EULIS, 4EULIS et 3EULIS, </w:t>
      </w:r>
    </w:p>
    <w:p w14:paraId="68F5AE61" w14:textId="5C1AF5C1" w:rsidR="009A49B8" w:rsidRDefault="009D0D65" w:rsidP="009D0D65">
      <w:pPr>
        <w:pStyle w:val="Paragraphedeliste"/>
        <w:numPr>
          <w:ilvl w:val="0"/>
          <w:numId w:val="8"/>
        </w:numPr>
      </w:pPr>
      <w:r>
        <w:t>Au niveau des lycées d’enseignement général et technique et des lycées professionnels, toutes les formations concernées doivent être codifiées avec un MEF coloré U</w:t>
      </w:r>
      <w:r w:rsidR="00D126E9">
        <w:t>lis</w:t>
      </w:r>
      <w:r>
        <w:t>, ce qui permet de décrire précisément la formation ou le niveau de formation d’un élève, tout en indiquant que celui-ci relève du dispositif U</w:t>
      </w:r>
      <w:r w:rsidR="00D126E9">
        <w:t>lis</w:t>
      </w:r>
      <w:r>
        <w:t>.</w:t>
      </w:r>
    </w:p>
    <w:p w14:paraId="6C058246" w14:textId="77777777" w:rsidR="00D126E9" w:rsidRDefault="00D126E9" w:rsidP="008F43CE">
      <w:r>
        <w:t>L’organisation pédagogique, renseignée chaque année par le coordonnateur précise :</w:t>
      </w:r>
    </w:p>
    <w:p w14:paraId="2A639C23" w14:textId="396CCD8D" w:rsidR="00D126E9" w:rsidRDefault="00D126E9" w:rsidP="008F43CE">
      <w:pPr>
        <w:pStyle w:val="Paragraphedeliste"/>
        <w:numPr>
          <w:ilvl w:val="0"/>
          <w:numId w:val="9"/>
        </w:numPr>
        <w:ind w:left="709"/>
      </w:pPr>
      <w:r>
        <w:t>Les besoins des élèves</w:t>
      </w:r>
    </w:p>
    <w:p w14:paraId="4A69A2FC" w14:textId="1E1664DB" w:rsidR="00D126E9" w:rsidRDefault="00D126E9" w:rsidP="008F43CE">
      <w:pPr>
        <w:pStyle w:val="Paragraphedeliste"/>
        <w:numPr>
          <w:ilvl w:val="0"/>
          <w:numId w:val="9"/>
        </w:numPr>
        <w:ind w:left="709"/>
      </w:pPr>
      <w:r>
        <w:t>La classe de référence pour chaque élève</w:t>
      </w:r>
    </w:p>
    <w:p w14:paraId="519E8732" w14:textId="5C27D5BC" w:rsidR="00D126E9" w:rsidRDefault="00D126E9" w:rsidP="008F43CE">
      <w:pPr>
        <w:pStyle w:val="Paragraphedeliste"/>
        <w:numPr>
          <w:ilvl w:val="0"/>
          <w:numId w:val="9"/>
        </w:numPr>
        <w:ind w:left="709"/>
      </w:pPr>
      <w:r>
        <w:t>Les objectifs d’apprentissage</w:t>
      </w:r>
    </w:p>
    <w:p w14:paraId="49B56759" w14:textId="7F3F85A1" w:rsidR="00D126E9" w:rsidRDefault="00D126E9" w:rsidP="008F43CE">
      <w:pPr>
        <w:pStyle w:val="Paragraphedeliste"/>
        <w:numPr>
          <w:ilvl w:val="0"/>
          <w:numId w:val="9"/>
        </w:numPr>
        <w:ind w:left="709"/>
      </w:pPr>
      <w:r>
        <w:t>Les modalités adaptées</w:t>
      </w:r>
    </w:p>
    <w:p w14:paraId="4F4AA789" w14:textId="4A43B226" w:rsidR="00D126E9" w:rsidRDefault="00D126E9" w:rsidP="008F43CE">
      <w:pPr>
        <w:pStyle w:val="Paragraphedeliste"/>
        <w:numPr>
          <w:ilvl w:val="0"/>
          <w:numId w:val="9"/>
        </w:numPr>
        <w:ind w:left="709"/>
      </w:pPr>
      <w:r>
        <w:t>L’organisation des enseignements</w:t>
      </w:r>
    </w:p>
    <w:p w14:paraId="612E1E61" w14:textId="60679E69" w:rsidR="00D126E9" w:rsidRDefault="00D126E9" w:rsidP="008F43CE">
      <w:pPr>
        <w:pStyle w:val="Paragraphedeliste"/>
        <w:numPr>
          <w:ilvl w:val="0"/>
          <w:numId w:val="9"/>
        </w:numPr>
        <w:ind w:left="709"/>
      </w:pPr>
      <w:r>
        <w:t>Les moyens spécifiques indispensables</w:t>
      </w:r>
    </w:p>
    <w:p w14:paraId="41DC413F" w14:textId="3F1B8AC9" w:rsidR="00D126E9" w:rsidRPr="008F43CE" w:rsidRDefault="00D126E9" w:rsidP="00A03C74">
      <w:pPr>
        <w:shd w:val="clear" w:color="auto" w:fill="D7EBE2" w:themeFill="accent1" w:themeFillTint="33"/>
        <w:spacing w:after="0"/>
        <w:rPr>
          <w:i/>
          <w:iCs/>
        </w:rPr>
      </w:pPr>
      <w:r w:rsidRPr="008F43CE">
        <w:rPr>
          <w:i/>
          <w:iCs/>
        </w:rPr>
        <w:t>Le projet d’école ou d’établissement comporte un volet sur le fonctionnement</w:t>
      </w:r>
      <w:r w:rsidR="00A03C74" w:rsidRPr="008F43CE">
        <w:rPr>
          <w:i/>
          <w:iCs/>
        </w:rPr>
        <w:t xml:space="preserve"> </w:t>
      </w:r>
      <w:r w:rsidRPr="008F43CE">
        <w:rPr>
          <w:i/>
          <w:iCs/>
        </w:rPr>
        <w:t>de l’Ulis et prend en compte les projets personnalisés de scolarisation (PPS).</w:t>
      </w:r>
    </w:p>
    <w:p w14:paraId="39BFE015" w14:textId="7BCB7868" w:rsidR="00D126E9" w:rsidRDefault="00D126E9" w:rsidP="00A03C74">
      <w:pPr>
        <w:spacing w:before="120" w:after="0"/>
        <w:ind w:left="357"/>
      </w:pPr>
      <w:r>
        <w:t>Le fonctionnement de l’Ulis engage tous les acteurs de l’établissement.</w:t>
      </w:r>
    </w:p>
    <w:p w14:paraId="11046970" w14:textId="77777777" w:rsidR="00D126E9" w:rsidRDefault="00D126E9" w:rsidP="00DD6D31">
      <w:pPr>
        <w:spacing w:after="0"/>
        <w:ind w:left="357"/>
      </w:pPr>
      <w:r>
        <w:t xml:space="preserve">Dans le cadre de son PPS, l'enfant peut bénéficier d'un accompagnement par un service ou un établissement médico-social ou par des professionnels libéraux. </w:t>
      </w:r>
    </w:p>
    <w:p w14:paraId="49DC1D8D" w14:textId="1F74BAA0" w:rsidR="00D126E9" w:rsidRDefault="00D126E9" w:rsidP="00D126E9">
      <w:pPr>
        <w:ind w:left="360"/>
      </w:pPr>
      <w:r>
        <w:t>La coopération entre les établissements scolaires et les établissements et services du secteur médico-social est organisée conventions passées entre ces établissements.</w:t>
      </w:r>
    </w:p>
    <w:p w14:paraId="23E52B7D" w14:textId="456924EC" w:rsidR="00D126E9" w:rsidRPr="008F43CE" w:rsidRDefault="00D126E9" w:rsidP="00A03C74">
      <w:pPr>
        <w:shd w:val="clear" w:color="auto" w:fill="D7EBE2" w:themeFill="accent1" w:themeFillTint="33"/>
        <w:rPr>
          <w:i/>
          <w:iCs/>
        </w:rPr>
      </w:pPr>
      <w:r w:rsidRPr="008F43CE">
        <w:rPr>
          <w:i/>
          <w:iCs/>
        </w:rPr>
        <w:lastRenderedPageBreak/>
        <w:t xml:space="preserve">Des formations collectives inter-catégorielles sont ouvertes dans le cadre du plan académique de formation et des accompagnements sont systématiquement proposés lors de la création.  </w:t>
      </w:r>
    </w:p>
    <w:p w14:paraId="148A4FEA" w14:textId="3EDC2AA0" w:rsidR="00D126E9" w:rsidRDefault="00D126E9" w:rsidP="00D126E9">
      <w:pPr>
        <w:ind w:left="360"/>
      </w:pPr>
      <w:r>
        <w:t>Le projet de l'Ulis prévoit l'affectation par l'IA-DASEN, d'un personnel assurant les missions d'accompagnant d’élèves en situation de handicap collectif. Le personnel accompagnant fait partie de l'équipe éducative et participe, sous la responsabilité pédagogique du coordonnateur à l'encadrement et à l'animation des actions éducatives conçues dans le cadre de l'Ulis lors des regroupements ou lorsque les élèves sont scolarisés dans leur classe de référence.</w:t>
      </w:r>
    </w:p>
    <w:p w14:paraId="604756A2" w14:textId="0FDD7B9F" w:rsidR="00D126E9" w:rsidRPr="009A49B8" w:rsidRDefault="00D126E9" w:rsidP="00D126E9">
      <w:pPr>
        <w:ind w:left="360"/>
      </w:pPr>
      <w:r>
        <w:t>Le chef d'établissement et l'IEN-ASH devront veiller à ce que les élèves bénéficiant de l'Ulis suivent effectivement l'ensemble des enseignements, auxquels ils ont droit, avec les aménagements et adaptations nécessaires.</w:t>
      </w:r>
    </w:p>
    <w:p w14:paraId="4A9320DD" w14:textId="2C57AFE2" w:rsidR="002D66A0" w:rsidRDefault="00D126E9" w:rsidP="00986F75">
      <w:pPr>
        <w:pStyle w:val="Titre2"/>
      </w:pPr>
      <w:r w:rsidRPr="00D126E9">
        <w:t>Le coordonnateur</w:t>
      </w:r>
    </w:p>
    <w:p w14:paraId="16785EDB" w14:textId="5B035D38" w:rsidR="00C3057D" w:rsidRDefault="00C3057D" w:rsidP="00C3057D">
      <w:pPr>
        <w:spacing w:line="276" w:lineRule="auto"/>
        <w:rPr>
          <w:szCs w:val="20"/>
        </w:rPr>
      </w:pPr>
      <w:r w:rsidRPr="00C722FB">
        <w:rPr>
          <w:szCs w:val="20"/>
        </w:rPr>
        <w:t>Chaque U</w:t>
      </w:r>
      <w:r w:rsidR="00B848B7">
        <w:rPr>
          <w:szCs w:val="20"/>
        </w:rPr>
        <w:t>lis</w:t>
      </w:r>
      <w:r w:rsidRPr="00C722FB">
        <w:rPr>
          <w:szCs w:val="20"/>
        </w:rPr>
        <w:t xml:space="preserve"> est dotée d’un coordonnateur</w:t>
      </w:r>
      <w:r>
        <w:rPr>
          <w:szCs w:val="20"/>
        </w:rPr>
        <w:t>, t</w:t>
      </w:r>
      <w:r w:rsidRPr="00923B7F">
        <w:rPr>
          <w:szCs w:val="20"/>
        </w:rPr>
        <w:t>itulaire du CAP</w:t>
      </w:r>
      <w:r>
        <w:rPr>
          <w:szCs w:val="20"/>
        </w:rPr>
        <w:t xml:space="preserve">PEI. </w:t>
      </w:r>
      <w:r w:rsidRPr="00D05B32">
        <w:rPr>
          <w:szCs w:val="20"/>
        </w:rPr>
        <w:t xml:space="preserve">Les temps de présence </w:t>
      </w:r>
      <w:r>
        <w:rPr>
          <w:szCs w:val="20"/>
        </w:rPr>
        <w:t>de l'élève bénéficiant de l'U</w:t>
      </w:r>
      <w:r w:rsidR="00B848B7">
        <w:rPr>
          <w:szCs w:val="20"/>
        </w:rPr>
        <w:t>lis</w:t>
      </w:r>
      <w:r w:rsidRPr="00D05B32">
        <w:rPr>
          <w:szCs w:val="20"/>
        </w:rPr>
        <w:t xml:space="preserve"> au collège ou en lycée ne sont pas en corrélation avec les obligations réglementaires de servi</w:t>
      </w:r>
      <w:r>
        <w:rPr>
          <w:szCs w:val="20"/>
        </w:rPr>
        <w:t>ce du coordonnateur de l'U</w:t>
      </w:r>
      <w:r w:rsidR="00B848B7">
        <w:rPr>
          <w:szCs w:val="20"/>
        </w:rPr>
        <w:t>lis</w:t>
      </w:r>
      <w:r>
        <w:rPr>
          <w:szCs w:val="20"/>
        </w:rPr>
        <w:t>.</w:t>
      </w:r>
    </w:p>
    <w:p w14:paraId="22DBB9CC" w14:textId="77777777" w:rsidR="00C3057D" w:rsidRPr="0022054D" w:rsidRDefault="00C3057D" w:rsidP="00C3057D">
      <w:pPr>
        <w:rPr>
          <w:szCs w:val="20"/>
        </w:rPr>
      </w:pPr>
      <w:r w:rsidRPr="0022054D">
        <w:rPr>
          <w:b/>
          <w:szCs w:val="20"/>
        </w:rPr>
        <w:t>Les obligations réglementaires de service</w:t>
      </w:r>
      <w:r w:rsidRPr="0022054D">
        <w:rPr>
          <w:szCs w:val="20"/>
        </w:rPr>
        <w:t xml:space="preserve"> sont celles du corps d’origine : </w:t>
      </w:r>
    </w:p>
    <w:p w14:paraId="62739076" w14:textId="663A290A" w:rsidR="00C3057D" w:rsidRPr="00B00B78" w:rsidRDefault="00C3057D" w:rsidP="00B00B78">
      <w:pPr>
        <w:pStyle w:val="Paragraphedeliste"/>
        <w:numPr>
          <w:ilvl w:val="0"/>
          <w:numId w:val="12"/>
        </w:numPr>
        <w:rPr>
          <w:szCs w:val="20"/>
        </w:rPr>
      </w:pPr>
      <w:r w:rsidRPr="00B00B78">
        <w:rPr>
          <w:szCs w:val="20"/>
        </w:rPr>
        <w:t xml:space="preserve">pour les </w:t>
      </w:r>
      <w:r w:rsidRPr="00B00B78">
        <w:rPr>
          <w:b/>
          <w:bCs/>
          <w:szCs w:val="20"/>
        </w:rPr>
        <w:t>enseignants du 1</w:t>
      </w:r>
      <w:r w:rsidRPr="00B00B78">
        <w:rPr>
          <w:b/>
          <w:bCs/>
          <w:szCs w:val="20"/>
          <w:vertAlign w:val="superscript"/>
        </w:rPr>
        <w:t>er</w:t>
      </w:r>
      <w:r w:rsidRPr="00B00B78">
        <w:rPr>
          <w:b/>
          <w:bCs/>
          <w:szCs w:val="20"/>
        </w:rPr>
        <w:t xml:space="preserve"> degré</w:t>
      </w:r>
      <w:r w:rsidRPr="00B00B78">
        <w:rPr>
          <w:szCs w:val="20"/>
        </w:rPr>
        <w:t xml:space="preserve"> affectés dans des U</w:t>
      </w:r>
      <w:r w:rsidR="00B848B7" w:rsidRPr="00B00B78">
        <w:rPr>
          <w:szCs w:val="20"/>
        </w:rPr>
        <w:t>lis</w:t>
      </w:r>
      <w:r w:rsidRPr="00B00B78">
        <w:rPr>
          <w:szCs w:val="20"/>
        </w:rPr>
        <w:t xml:space="preserve"> du 2</w:t>
      </w:r>
      <w:r w:rsidRPr="00B00B78">
        <w:rPr>
          <w:szCs w:val="20"/>
          <w:vertAlign w:val="superscript"/>
        </w:rPr>
        <w:t>nd</w:t>
      </w:r>
      <w:r w:rsidRPr="00B00B78">
        <w:rPr>
          <w:szCs w:val="20"/>
        </w:rPr>
        <w:t xml:space="preserve"> degré, elles sont de 21 heures, conformément au décret 2014-940 du 20 août 2014 et à la circulaire n° 2015-057 du 29 avril 2015 ;</w:t>
      </w:r>
    </w:p>
    <w:p w14:paraId="103B52B9" w14:textId="60965EC9" w:rsidR="00C3057D" w:rsidRPr="00B00B78" w:rsidRDefault="00C3057D" w:rsidP="00B00B78">
      <w:pPr>
        <w:pStyle w:val="Paragraphedeliste"/>
        <w:numPr>
          <w:ilvl w:val="0"/>
          <w:numId w:val="12"/>
        </w:numPr>
        <w:rPr>
          <w:szCs w:val="20"/>
        </w:rPr>
      </w:pPr>
      <w:r w:rsidRPr="00B00B78">
        <w:rPr>
          <w:szCs w:val="20"/>
        </w:rPr>
        <w:t xml:space="preserve">pour les </w:t>
      </w:r>
      <w:r w:rsidRPr="00B00B78">
        <w:rPr>
          <w:b/>
          <w:bCs/>
          <w:szCs w:val="20"/>
        </w:rPr>
        <w:t>enseignants du 2</w:t>
      </w:r>
      <w:r w:rsidRPr="00B00B78">
        <w:rPr>
          <w:b/>
          <w:bCs/>
          <w:szCs w:val="20"/>
          <w:vertAlign w:val="superscript"/>
        </w:rPr>
        <w:t>nd</w:t>
      </w:r>
      <w:r w:rsidRPr="00B00B78">
        <w:rPr>
          <w:b/>
          <w:bCs/>
          <w:szCs w:val="20"/>
        </w:rPr>
        <w:t xml:space="preserve"> degré</w:t>
      </w:r>
      <w:r w:rsidRPr="00B00B78">
        <w:rPr>
          <w:szCs w:val="20"/>
        </w:rPr>
        <w:t>, elles sont régies par le décret 2014-941 du 20 août 2014.</w:t>
      </w:r>
    </w:p>
    <w:p w14:paraId="16D844A3" w14:textId="77777777" w:rsidR="00473D5F" w:rsidRDefault="00C3057D" w:rsidP="00C3057D">
      <w:pPr>
        <w:rPr>
          <w:b/>
          <w:szCs w:val="20"/>
          <w:u w:val="single"/>
        </w:rPr>
      </w:pPr>
      <w:r w:rsidRPr="0022054D">
        <w:rPr>
          <w:b/>
          <w:szCs w:val="20"/>
        </w:rPr>
        <w:t xml:space="preserve">Le régime indemnitaire </w:t>
      </w:r>
      <w:r w:rsidRPr="0022054D">
        <w:rPr>
          <w:szCs w:val="20"/>
        </w:rPr>
        <w:t>est fixé en fonction du corps d’appartenance : instituteur, professeur des écoles ou professeurs de lycées ou collèges. Il comporte généralement :</w:t>
      </w:r>
    </w:p>
    <w:p w14:paraId="5F9A2F3A" w14:textId="77777777" w:rsidR="00473D5F" w:rsidRPr="00473D5F" w:rsidRDefault="00C3057D" w:rsidP="00473D5F">
      <w:pPr>
        <w:pStyle w:val="Paragraphedeliste"/>
        <w:numPr>
          <w:ilvl w:val="0"/>
          <w:numId w:val="11"/>
        </w:numPr>
        <w:rPr>
          <w:b/>
          <w:szCs w:val="20"/>
          <w:u w:val="single"/>
        </w:rPr>
      </w:pPr>
      <w:r w:rsidRPr="00473D5F">
        <w:rPr>
          <w:szCs w:val="20"/>
        </w:rPr>
        <w:t>une indemnité forfaitaire : son bénéfice est exclusif du versement d’heures supplémentaires de coordination et synthèse ;</w:t>
      </w:r>
    </w:p>
    <w:p w14:paraId="368E5229" w14:textId="77777777" w:rsidR="00473D5F" w:rsidRPr="00473D5F" w:rsidRDefault="00C3057D" w:rsidP="00473D5F">
      <w:pPr>
        <w:pStyle w:val="Paragraphedeliste"/>
        <w:numPr>
          <w:ilvl w:val="0"/>
          <w:numId w:val="11"/>
        </w:numPr>
        <w:rPr>
          <w:b/>
          <w:szCs w:val="20"/>
          <w:u w:val="single"/>
        </w:rPr>
      </w:pPr>
      <w:r w:rsidRPr="00473D5F">
        <w:rPr>
          <w:szCs w:val="20"/>
        </w:rPr>
        <w:t>une indemnité de fonction particulière en fonction de la certification professionnelle spécialisée détenue ;</w:t>
      </w:r>
    </w:p>
    <w:p w14:paraId="7F1EC341" w14:textId="051ED36D" w:rsidR="00C3057D" w:rsidRPr="00473D5F" w:rsidRDefault="00C3057D" w:rsidP="00C3057D">
      <w:pPr>
        <w:pStyle w:val="Paragraphedeliste"/>
        <w:numPr>
          <w:ilvl w:val="0"/>
          <w:numId w:val="11"/>
        </w:numPr>
        <w:rPr>
          <w:b/>
          <w:szCs w:val="20"/>
          <w:u w:val="single"/>
        </w:rPr>
      </w:pPr>
      <w:r w:rsidRPr="00473D5F">
        <w:rPr>
          <w:szCs w:val="20"/>
        </w:rPr>
        <w:t>une indemnité de suivi des élèves (ISAE ou ISOE).</w:t>
      </w:r>
    </w:p>
    <w:p w14:paraId="52F17AD0" w14:textId="5EF0A449" w:rsidR="00C3057D" w:rsidRDefault="00C3057D" w:rsidP="00473D5F">
      <w:pPr>
        <w:spacing w:line="276" w:lineRule="auto"/>
        <w:rPr>
          <w:szCs w:val="20"/>
        </w:rPr>
      </w:pPr>
      <w:r w:rsidRPr="00EA7F4F">
        <w:rPr>
          <w:b/>
          <w:szCs w:val="20"/>
        </w:rPr>
        <w:t xml:space="preserve">La description des services </w:t>
      </w:r>
      <w:r w:rsidRPr="00EA7F4F">
        <w:rPr>
          <w:szCs w:val="20"/>
        </w:rPr>
        <w:t>d’enseignement du coordonnateur du dispositif sera effectué</w:t>
      </w:r>
      <w:r>
        <w:rPr>
          <w:szCs w:val="20"/>
        </w:rPr>
        <w:t>e</w:t>
      </w:r>
      <w:r w:rsidRPr="00EA7F4F">
        <w:rPr>
          <w:szCs w:val="20"/>
        </w:rPr>
        <w:t xml:space="preserve"> dans STSWEB sous la forme d’ARE à temps plein après accord de la </w:t>
      </w:r>
      <w:r w:rsidRPr="00EA7F4F">
        <w:rPr>
          <w:color w:val="000000"/>
          <w:szCs w:val="20"/>
        </w:rPr>
        <w:t>DSM, de la DEEP ou de la DOS départementale</w:t>
      </w:r>
      <w:r w:rsidRPr="00EA7F4F">
        <w:rPr>
          <w:szCs w:val="20"/>
        </w:rPr>
        <w:t>.</w:t>
      </w:r>
    </w:p>
    <w:p w14:paraId="1DE2B1EC" w14:textId="4B628A0B" w:rsidR="00C3057D" w:rsidRPr="008F43CE" w:rsidRDefault="00C3057D" w:rsidP="00B00B78">
      <w:pPr>
        <w:shd w:val="clear" w:color="auto" w:fill="D7EBE2" w:themeFill="accent1" w:themeFillTint="33"/>
        <w:spacing w:line="240" w:lineRule="auto"/>
        <w:rPr>
          <w:bCs/>
          <w:i/>
          <w:szCs w:val="20"/>
        </w:rPr>
      </w:pPr>
      <w:r w:rsidRPr="008F43CE">
        <w:rPr>
          <w:bCs/>
          <w:i/>
          <w:szCs w:val="20"/>
        </w:rPr>
        <w:t>La nomination des coordonnateurs d’U</w:t>
      </w:r>
      <w:r w:rsidR="00B848B7" w:rsidRPr="008F43CE">
        <w:rPr>
          <w:bCs/>
          <w:i/>
          <w:szCs w:val="20"/>
        </w:rPr>
        <w:t>lis</w:t>
      </w:r>
      <w:r w:rsidRPr="008F43CE">
        <w:rPr>
          <w:bCs/>
          <w:i/>
          <w:szCs w:val="20"/>
        </w:rPr>
        <w:t xml:space="preserve"> 2</w:t>
      </w:r>
      <w:r w:rsidRPr="008F43CE">
        <w:rPr>
          <w:bCs/>
          <w:i/>
          <w:szCs w:val="20"/>
          <w:vertAlign w:val="superscript"/>
        </w:rPr>
        <w:t>nd</w:t>
      </w:r>
      <w:r w:rsidRPr="008F43CE">
        <w:rPr>
          <w:bCs/>
          <w:i/>
          <w:szCs w:val="20"/>
        </w:rPr>
        <w:t xml:space="preserve"> degré fait l’objet d’un recrutement académique inter-degré selon le projet pédagogique.</w:t>
      </w:r>
    </w:p>
    <w:p w14:paraId="1CD05FB6" w14:textId="77777777" w:rsidR="00C3057D" w:rsidRPr="00C722FB" w:rsidRDefault="00C3057D" w:rsidP="00C3057D">
      <w:pPr>
        <w:pStyle w:val="Default"/>
        <w:rPr>
          <w:rFonts w:ascii="Arial" w:hAnsi="Arial" w:cs="Arial"/>
          <w:sz w:val="20"/>
          <w:szCs w:val="20"/>
        </w:rPr>
      </w:pPr>
      <w:r w:rsidRPr="00D05B32">
        <w:rPr>
          <w:rFonts w:ascii="Arial" w:hAnsi="Arial" w:cs="Arial"/>
          <w:b/>
          <w:sz w:val="20"/>
          <w:szCs w:val="20"/>
        </w:rPr>
        <w:t>L'action du coordonnateur</w:t>
      </w:r>
      <w:r w:rsidRPr="00C722FB">
        <w:rPr>
          <w:rFonts w:ascii="Arial" w:hAnsi="Arial" w:cs="Arial"/>
          <w:sz w:val="20"/>
          <w:szCs w:val="20"/>
        </w:rPr>
        <w:t xml:space="preserve"> s'organise autour de 3 axes : </w:t>
      </w:r>
    </w:p>
    <w:p w14:paraId="00F48CB5" w14:textId="5236BB35" w:rsidR="00C3057D" w:rsidRPr="00C722FB" w:rsidRDefault="00C3057D" w:rsidP="00B00B78">
      <w:pPr>
        <w:pStyle w:val="Default"/>
        <w:numPr>
          <w:ilvl w:val="0"/>
          <w:numId w:val="13"/>
        </w:numPr>
        <w:rPr>
          <w:rFonts w:ascii="Arial" w:hAnsi="Arial" w:cs="Arial"/>
          <w:sz w:val="20"/>
          <w:szCs w:val="20"/>
        </w:rPr>
      </w:pPr>
      <w:r w:rsidRPr="00C722FB">
        <w:rPr>
          <w:rFonts w:ascii="Arial" w:hAnsi="Arial" w:cs="Arial"/>
          <w:sz w:val="20"/>
          <w:szCs w:val="20"/>
        </w:rPr>
        <w:t>l'enseignement aux élèves lors des temps de r</w:t>
      </w:r>
      <w:r>
        <w:rPr>
          <w:rFonts w:ascii="Arial" w:hAnsi="Arial" w:cs="Arial"/>
          <w:sz w:val="20"/>
          <w:szCs w:val="20"/>
        </w:rPr>
        <w:t>egroupement au sein de l'U</w:t>
      </w:r>
      <w:r w:rsidR="00B848B7">
        <w:rPr>
          <w:rFonts w:ascii="Arial" w:hAnsi="Arial" w:cs="Arial"/>
          <w:sz w:val="20"/>
          <w:szCs w:val="20"/>
        </w:rPr>
        <w:t>lis</w:t>
      </w:r>
    </w:p>
    <w:p w14:paraId="40C6A916" w14:textId="059390AF" w:rsidR="00C3057D" w:rsidRDefault="00C3057D" w:rsidP="00B00B78">
      <w:pPr>
        <w:pStyle w:val="Default"/>
        <w:numPr>
          <w:ilvl w:val="0"/>
          <w:numId w:val="13"/>
        </w:numPr>
        <w:rPr>
          <w:rFonts w:ascii="Arial" w:hAnsi="Arial" w:cs="Arial"/>
          <w:sz w:val="20"/>
          <w:szCs w:val="20"/>
        </w:rPr>
      </w:pPr>
      <w:r w:rsidRPr="00C722FB">
        <w:rPr>
          <w:rFonts w:ascii="Arial" w:hAnsi="Arial" w:cs="Arial"/>
          <w:sz w:val="20"/>
          <w:szCs w:val="20"/>
        </w:rPr>
        <w:t>la coord</w:t>
      </w:r>
      <w:r>
        <w:rPr>
          <w:rFonts w:ascii="Arial" w:hAnsi="Arial" w:cs="Arial"/>
          <w:sz w:val="20"/>
          <w:szCs w:val="20"/>
        </w:rPr>
        <w:t>ination de l'U</w:t>
      </w:r>
      <w:r w:rsidR="00B848B7">
        <w:rPr>
          <w:rFonts w:ascii="Arial" w:hAnsi="Arial" w:cs="Arial"/>
          <w:sz w:val="20"/>
          <w:szCs w:val="20"/>
        </w:rPr>
        <w:t>lis</w:t>
      </w:r>
      <w:r w:rsidRPr="00C722FB">
        <w:rPr>
          <w:rFonts w:ascii="Arial" w:hAnsi="Arial" w:cs="Arial"/>
          <w:sz w:val="20"/>
          <w:szCs w:val="20"/>
        </w:rPr>
        <w:t xml:space="preserve"> et les relations avec les partenaires </w:t>
      </w:r>
      <w:r>
        <w:rPr>
          <w:rFonts w:ascii="Arial" w:hAnsi="Arial" w:cs="Arial"/>
          <w:sz w:val="20"/>
          <w:szCs w:val="20"/>
        </w:rPr>
        <w:t>extérieurs</w:t>
      </w:r>
      <w:r w:rsidRPr="00C722FB">
        <w:rPr>
          <w:rFonts w:ascii="Arial" w:hAnsi="Arial" w:cs="Arial"/>
          <w:sz w:val="20"/>
          <w:szCs w:val="20"/>
        </w:rPr>
        <w:t xml:space="preserve"> </w:t>
      </w:r>
    </w:p>
    <w:p w14:paraId="72A9D1A0" w14:textId="7FB5829A" w:rsidR="00C3057D" w:rsidRPr="00B00B78" w:rsidRDefault="00C3057D" w:rsidP="00B00B78">
      <w:pPr>
        <w:pStyle w:val="Paragraphedeliste"/>
        <w:numPr>
          <w:ilvl w:val="0"/>
          <w:numId w:val="13"/>
        </w:numPr>
        <w:spacing w:line="280" w:lineRule="exact"/>
        <w:rPr>
          <w:szCs w:val="20"/>
        </w:rPr>
      </w:pPr>
      <w:r w:rsidRPr="00B00B78">
        <w:rPr>
          <w:szCs w:val="20"/>
        </w:rPr>
        <w:t>le conseil à la communauté éducative en qualité de personne ressource</w:t>
      </w:r>
    </w:p>
    <w:p w14:paraId="11EAAF1D" w14:textId="47EFBA0A" w:rsidR="00D126E9" w:rsidRPr="00C3057D" w:rsidRDefault="00C3057D" w:rsidP="00C3057D">
      <w:pPr>
        <w:rPr>
          <w:szCs w:val="20"/>
        </w:rPr>
      </w:pPr>
      <w:r>
        <w:rPr>
          <w:szCs w:val="20"/>
        </w:rPr>
        <w:t>Le coordonnateur de l’U</w:t>
      </w:r>
      <w:r w:rsidR="00B848B7">
        <w:rPr>
          <w:szCs w:val="20"/>
        </w:rPr>
        <w:t>lis</w:t>
      </w:r>
      <w:r>
        <w:rPr>
          <w:szCs w:val="20"/>
        </w:rPr>
        <w:t xml:space="preserve"> </w:t>
      </w:r>
      <w:r w:rsidRPr="002E025D">
        <w:rPr>
          <w:szCs w:val="20"/>
        </w:rPr>
        <w:t>est évalué par l’IEN-ASH s’il est professeur des écoles</w:t>
      </w:r>
      <w:r>
        <w:rPr>
          <w:szCs w:val="20"/>
        </w:rPr>
        <w:t xml:space="preserve">. </w:t>
      </w:r>
      <w:r w:rsidRPr="002E025D">
        <w:rPr>
          <w:szCs w:val="20"/>
        </w:rPr>
        <w:t xml:space="preserve">L’inspection des </w:t>
      </w:r>
      <w:r>
        <w:rPr>
          <w:szCs w:val="20"/>
        </w:rPr>
        <w:t>professeurs du 2</w:t>
      </w:r>
      <w:r w:rsidRPr="00D27B7E">
        <w:rPr>
          <w:szCs w:val="20"/>
          <w:vertAlign w:val="superscript"/>
        </w:rPr>
        <w:t>nd</w:t>
      </w:r>
      <w:r>
        <w:rPr>
          <w:szCs w:val="20"/>
        </w:rPr>
        <w:t xml:space="preserve"> degré</w:t>
      </w:r>
      <w:r w:rsidRPr="002E025D">
        <w:rPr>
          <w:szCs w:val="20"/>
        </w:rPr>
        <w:t xml:space="preserve"> peut donner lieu à une inspection conjointe de l’inspecteur disci</w:t>
      </w:r>
      <w:r>
        <w:rPr>
          <w:szCs w:val="20"/>
        </w:rPr>
        <w:t>pli</w:t>
      </w:r>
      <w:r w:rsidRPr="002E025D">
        <w:rPr>
          <w:szCs w:val="20"/>
        </w:rPr>
        <w:t>n</w:t>
      </w:r>
      <w:r>
        <w:rPr>
          <w:szCs w:val="20"/>
        </w:rPr>
        <w:t>a</w:t>
      </w:r>
      <w:r w:rsidRPr="002E025D">
        <w:rPr>
          <w:szCs w:val="20"/>
        </w:rPr>
        <w:t>ire accompagné d’un IEN-ASH.</w:t>
      </w:r>
      <w:r>
        <w:rPr>
          <w:szCs w:val="20"/>
        </w:rPr>
        <w:t xml:space="preserve"> Le coordonnateur rédige annuellement un rapport d’activité.</w:t>
      </w:r>
    </w:p>
    <w:p w14:paraId="0BF06444" w14:textId="123FB9D2" w:rsidR="002D66A0" w:rsidRPr="002D66A0" w:rsidRDefault="00C3057D" w:rsidP="00A215C9">
      <w:pPr>
        <w:pStyle w:val="Titre2"/>
      </w:pPr>
      <w:r w:rsidRPr="00C3057D">
        <w:t>Le parcours de formation des élèves</w:t>
      </w:r>
    </w:p>
    <w:bookmarkEnd w:id="0"/>
    <w:p w14:paraId="4CF11B87" w14:textId="71C91BF0" w:rsidR="00C3057D" w:rsidRPr="004918E2" w:rsidRDefault="00C3057D" w:rsidP="00C3057D">
      <w:pPr>
        <w:rPr>
          <w:bCs/>
          <w:szCs w:val="20"/>
        </w:rPr>
      </w:pPr>
      <w:r w:rsidRPr="004918E2">
        <w:rPr>
          <w:bCs/>
          <w:szCs w:val="20"/>
        </w:rPr>
        <w:t>Plus encore que pour tous les au</w:t>
      </w:r>
      <w:r>
        <w:rPr>
          <w:bCs/>
          <w:szCs w:val="20"/>
        </w:rPr>
        <w:t>tres élèves, pour les élèves bénéficiant d’une U</w:t>
      </w:r>
      <w:r w:rsidR="00B848B7">
        <w:rPr>
          <w:bCs/>
          <w:szCs w:val="20"/>
        </w:rPr>
        <w:t>lis</w:t>
      </w:r>
      <w:r>
        <w:rPr>
          <w:bCs/>
          <w:szCs w:val="20"/>
        </w:rPr>
        <w:t>, la formation des phases d’orientation doit donner lieu à une préparation spécifique dans le cadre du parcours Avenir. Ils bénéficient des dispositifs de droit commun visant la préparation à ces transitions.</w:t>
      </w:r>
    </w:p>
    <w:p w14:paraId="6E6826C5" w14:textId="76AA4902" w:rsidR="00C3057D" w:rsidRPr="008F43CE" w:rsidRDefault="00C3057D" w:rsidP="00A03C74">
      <w:pPr>
        <w:shd w:val="clear" w:color="auto" w:fill="D7EBE2" w:themeFill="accent1" w:themeFillTint="33"/>
        <w:spacing w:after="0" w:line="240" w:lineRule="auto"/>
        <w:rPr>
          <w:i/>
          <w:szCs w:val="20"/>
        </w:rPr>
      </w:pPr>
      <w:r w:rsidRPr="008F43CE">
        <w:rPr>
          <w:i/>
          <w:szCs w:val="20"/>
        </w:rPr>
        <w:t>Pour ces élèves, le parcours de formation et d’orientation prendra appui sur un portefeuille de réussite composé du livret personnel de compétences et d’attestations de stages en milieu professionnel.</w:t>
      </w:r>
    </w:p>
    <w:p w14:paraId="077797D1" w14:textId="77777777" w:rsidR="00C3057D" w:rsidRDefault="00C3057D" w:rsidP="00C3057D">
      <w:pPr>
        <w:pStyle w:val="Titre2"/>
      </w:pPr>
      <w:r>
        <w:lastRenderedPageBreak/>
        <w:t>Dispositifs particuliers</w:t>
      </w:r>
    </w:p>
    <w:p w14:paraId="50FF7AB2" w14:textId="77777777" w:rsidR="00C3057D" w:rsidRDefault="00C3057D" w:rsidP="00B00B78">
      <w:pPr>
        <w:pStyle w:val="Sous-titre"/>
      </w:pPr>
      <w:r>
        <w:t>En lycée général ou technologique</w:t>
      </w:r>
    </w:p>
    <w:p w14:paraId="13840D78" w14:textId="0CCDB14A" w:rsidR="00C3057D" w:rsidRPr="00CD3952" w:rsidRDefault="00C3057D" w:rsidP="00C3057D">
      <w:pPr>
        <w:rPr>
          <w:b/>
          <w:bCs/>
          <w:szCs w:val="20"/>
        </w:rPr>
      </w:pPr>
      <w:r w:rsidRPr="00CD3952">
        <w:rPr>
          <w:szCs w:val="20"/>
        </w:rPr>
        <w:t>Pour les élèves bénéficiant de l'U</w:t>
      </w:r>
      <w:r w:rsidR="00B848B7">
        <w:rPr>
          <w:szCs w:val="20"/>
        </w:rPr>
        <w:t>lis</w:t>
      </w:r>
      <w:r w:rsidRPr="00CD3952">
        <w:rPr>
          <w:szCs w:val="20"/>
        </w:rPr>
        <w:t xml:space="preserve"> dont le PPS prévoit la préparation d'un diplôme de l'enseignement général ou technologique, l'équipe pédagogique, singulièr</w:t>
      </w:r>
      <w:r>
        <w:rPr>
          <w:szCs w:val="20"/>
        </w:rPr>
        <w:t>ement le coordonnateur de l'U</w:t>
      </w:r>
      <w:r w:rsidR="00B848B7">
        <w:rPr>
          <w:szCs w:val="20"/>
        </w:rPr>
        <w:t>lis</w:t>
      </w:r>
      <w:r w:rsidRPr="00CD3952">
        <w:rPr>
          <w:szCs w:val="20"/>
        </w:rPr>
        <w:t xml:space="preserve">, accompagne le projet de poursuite d'études et prépare les élèves aux conditions particulières de travail qu'ils rencontreront </w:t>
      </w:r>
      <w:r>
        <w:rPr>
          <w:szCs w:val="20"/>
        </w:rPr>
        <w:t xml:space="preserve">dans l'enseignement supérieur. </w:t>
      </w:r>
      <w:r w:rsidRPr="00CD3952">
        <w:rPr>
          <w:szCs w:val="20"/>
        </w:rPr>
        <w:t>L'enseignant référent prend contact, le moment venu, avec le correspondant « handicap » de l'enseignement supérieur afin d'assurer la transition avec l'université.</w:t>
      </w:r>
    </w:p>
    <w:p w14:paraId="056258A1" w14:textId="1898F380" w:rsidR="00C3057D" w:rsidRPr="008F43CE" w:rsidRDefault="00C3057D" w:rsidP="00B00B78">
      <w:pPr>
        <w:pStyle w:val="Default"/>
        <w:shd w:val="clear" w:color="auto" w:fill="D7EBE2" w:themeFill="accent1" w:themeFillTint="33"/>
        <w:spacing w:after="200"/>
        <w:rPr>
          <w:rFonts w:ascii="Arial" w:hAnsi="Arial" w:cs="Arial"/>
          <w:bCs/>
          <w:i/>
          <w:sz w:val="20"/>
          <w:szCs w:val="20"/>
        </w:rPr>
      </w:pPr>
      <w:r w:rsidRPr="008F43CE">
        <w:rPr>
          <w:rFonts w:ascii="Arial" w:hAnsi="Arial" w:cs="Arial"/>
          <w:bCs/>
          <w:i/>
          <w:sz w:val="20"/>
          <w:szCs w:val="20"/>
        </w:rPr>
        <w:t>Pour ces élèves, dès la première, un dispositif d’orientation active se met en place au sein de l’établissement.</w:t>
      </w:r>
    </w:p>
    <w:p w14:paraId="6DCE407C" w14:textId="3EC221B5" w:rsidR="00C3057D" w:rsidRDefault="00C3057D" w:rsidP="00B00B78">
      <w:pPr>
        <w:pStyle w:val="Sous-titre"/>
      </w:pPr>
      <w:r>
        <w:t>E</w:t>
      </w:r>
      <w:r w:rsidRPr="005A3300">
        <w:t xml:space="preserve">n </w:t>
      </w:r>
      <w:r>
        <w:t>lycée professionnel</w:t>
      </w:r>
    </w:p>
    <w:p w14:paraId="5EAD6EB9" w14:textId="3893FD0A" w:rsidR="00C3057D" w:rsidRDefault="00C3057D" w:rsidP="00473D5F">
      <w:pPr>
        <w:rPr>
          <w:bCs/>
          <w:szCs w:val="20"/>
        </w:rPr>
      </w:pPr>
      <w:r w:rsidRPr="0067473C">
        <w:rPr>
          <w:bCs/>
          <w:szCs w:val="20"/>
        </w:rPr>
        <w:t xml:space="preserve">Afin de favoriser l’accès aux formations professionnelles pour les élèves présentant </w:t>
      </w:r>
      <w:r>
        <w:rPr>
          <w:bCs/>
          <w:szCs w:val="20"/>
        </w:rPr>
        <w:t>des troubles des fonctions cognitives ou des troubles envahissants du développement, les unités localisées pour l’inclusion scolaire sont prioritairement implantées en lycée polyvalent ou en lycée professionnel.</w:t>
      </w:r>
    </w:p>
    <w:p w14:paraId="3E7DA30C" w14:textId="77777777" w:rsidR="00C3057D" w:rsidRDefault="00C3057D" w:rsidP="00C3057D">
      <w:pPr>
        <w:rPr>
          <w:bCs/>
          <w:szCs w:val="20"/>
        </w:rPr>
      </w:pPr>
      <w:r>
        <w:rPr>
          <w:bCs/>
          <w:szCs w:val="20"/>
        </w:rPr>
        <w:t>Les élèves ont accès aux formations professionnelles de leur lycée et des établissements du réseau dans le cadre d’un conventionnement.</w:t>
      </w:r>
    </w:p>
    <w:p w14:paraId="09F88B5C" w14:textId="5D1EFE4D" w:rsidR="00C3057D" w:rsidRPr="008F43CE" w:rsidRDefault="00C3057D" w:rsidP="00DF720D">
      <w:pPr>
        <w:shd w:val="clear" w:color="auto" w:fill="D7EBE2" w:themeFill="accent1" w:themeFillTint="33"/>
        <w:spacing w:line="240" w:lineRule="auto"/>
        <w:rPr>
          <w:i/>
          <w:szCs w:val="20"/>
        </w:rPr>
      </w:pPr>
      <w:r w:rsidRPr="008F43CE">
        <w:rPr>
          <w:i/>
          <w:szCs w:val="20"/>
        </w:rPr>
        <w:t>Un modèle académique précise les conditions de fonctionnement et définit les obligations spécifiques d’un fonctionnement en réseau.</w:t>
      </w:r>
    </w:p>
    <w:p w14:paraId="1F06FF32" w14:textId="77777777" w:rsidR="00C3057D" w:rsidRDefault="00C3057D" w:rsidP="00C3057D">
      <w:pPr>
        <w:rPr>
          <w:bCs/>
          <w:szCs w:val="20"/>
        </w:rPr>
      </w:pPr>
      <w:r>
        <w:rPr>
          <w:bCs/>
          <w:szCs w:val="20"/>
        </w:rPr>
        <w:t xml:space="preserve">Pour les élèves n’ayant pas été en mesure d’accéder à une qualification reconnue, une attestation de compétences professionnelles sera délivrée. </w:t>
      </w:r>
      <w:r w:rsidRPr="00FE56AF">
        <w:rPr>
          <w:szCs w:val="20"/>
        </w:rPr>
        <w:t xml:space="preserve">Bien que ne s’agissant pas d’un document valant </w:t>
      </w:r>
      <w:r w:rsidRPr="00FE56AF">
        <w:rPr>
          <w:i/>
          <w:szCs w:val="20"/>
        </w:rPr>
        <w:t>stricto sensu</w:t>
      </w:r>
      <w:r w:rsidRPr="00FE56AF">
        <w:rPr>
          <w:szCs w:val="20"/>
        </w:rPr>
        <w:t xml:space="preserve"> attestation d’examen, il apparaît opportun que celui-ci émane du service académique « examens et concours » afin que les élèves ayant achevé la </w:t>
      </w:r>
      <w:r>
        <w:rPr>
          <w:szCs w:val="20"/>
        </w:rPr>
        <w:t xml:space="preserve">dernière </w:t>
      </w:r>
      <w:r w:rsidRPr="00FE56AF">
        <w:rPr>
          <w:szCs w:val="20"/>
        </w:rPr>
        <w:t>année scolaire sans l’obtention d’un CAP puisse</w:t>
      </w:r>
      <w:r>
        <w:rPr>
          <w:szCs w:val="20"/>
        </w:rPr>
        <w:t>nt</w:t>
      </w:r>
      <w:r w:rsidRPr="00FE56AF">
        <w:rPr>
          <w:szCs w:val="20"/>
        </w:rPr>
        <w:t xml:space="preserve"> cependant disposer de validations partielles de connaissances et de compétences</w:t>
      </w:r>
      <w:r>
        <w:rPr>
          <w:szCs w:val="20"/>
        </w:rPr>
        <w:t>.</w:t>
      </w:r>
    </w:p>
    <w:p w14:paraId="5E7AF179" w14:textId="0F8565C8" w:rsidR="00C3057D" w:rsidRPr="00DF720D" w:rsidRDefault="00C3057D" w:rsidP="00DF720D">
      <w:pPr>
        <w:shd w:val="clear" w:color="auto" w:fill="F7F0DA" w:themeFill="accent2" w:themeFillTint="33"/>
        <w:spacing w:after="0" w:line="240" w:lineRule="auto"/>
        <w:rPr>
          <w:i/>
          <w:szCs w:val="20"/>
        </w:rPr>
      </w:pPr>
      <w:r w:rsidRPr="00DF720D">
        <w:rPr>
          <w:i/>
          <w:szCs w:val="20"/>
        </w:rPr>
        <w:t>La plateforme académique de formation et d’insertion professionnelle (</w:t>
      </w:r>
      <w:proofErr w:type="spellStart"/>
      <w:r w:rsidRPr="00DF720D">
        <w:rPr>
          <w:i/>
          <w:szCs w:val="20"/>
        </w:rPr>
        <w:t>P</w:t>
      </w:r>
      <w:r w:rsidR="006A5663">
        <w:rPr>
          <w:i/>
          <w:szCs w:val="20"/>
        </w:rPr>
        <w:t>afip</w:t>
      </w:r>
      <w:proofErr w:type="spellEnd"/>
      <w:r w:rsidRPr="00DF720D">
        <w:rPr>
          <w:i/>
          <w:szCs w:val="20"/>
        </w:rPr>
        <w:t>) contribuera par ses actions à l’accompagnement vers l’insertion professionnelle et l’accès à l’emploi.</w:t>
      </w:r>
    </w:p>
    <w:p w14:paraId="502E4B43" w14:textId="1B0A389C" w:rsidR="00C3057D" w:rsidRDefault="00C3057D" w:rsidP="00C3057D">
      <w:pPr>
        <w:ind w:left="360"/>
        <w:rPr>
          <w:bCs/>
          <w:szCs w:val="20"/>
        </w:rPr>
      </w:pPr>
    </w:p>
    <w:p w14:paraId="722A8865" w14:textId="320F7059" w:rsidR="00C3057D" w:rsidRDefault="00C3057D" w:rsidP="00C3057D">
      <w:pPr>
        <w:ind w:left="360"/>
        <w:rPr>
          <w:bCs/>
          <w:szCs w:val="20"/>
        </w:rPr>
      </w:pPr>
    </w:p>
    <w:p w14:paraId="1555D8C2" w14:textId="19693676" w:rsidR="00B00B78" w:rsidRDefault="00B00B78" w:rsidP="00C3057D">
      <w:pPr>
        <w:ind w:left="360"/>
        <w:rPr>
          <w:bCs/>
          <w:szCs w:val="20"/>
        </w:rPr>
      </w:pPr>
    </w:p>
    <w:p w14:paraId="745B183E" w14:textId="65BDF862" w:rsidR="00B00B78" w:rsidRDefault="00B00B78" w:rsidP="00C3057D">
      <w:pPr>
        <w:ind w:left="360"/>
        <w:rPr>
          <w:bCs/>
          <w:szCs w:val="20"/>
        </w:rPr>
      </w:pPr>
    </w:p>
    <w:p w14:paraId="43EEBD2A" w14:textId="38DBCDDF" w:rsidR="00B00B78" w:rsidRDefault="00B00B78" w:rsidP="00C3057D">
      <w:pPr>
        <w:ind w:left="360"/>
        <w:rPr>
          <w:bCs/>
          <w:szCs w:val="20"/>
        </w:rPr>
      </w:pPr>
    </w:p>
    <w:p w14:paraId="6375C724" w14:textId="386595D5" w:rsidR="00B00B78" w:rsidRDefault="00B00B78" w:rsidP="00C3057D">
      <w:pPr>
        <w:ind w:left="360"/>
        <w:rPr>
          <w:bCs/>
          <w:szCs w:val="20"/>
        </w:rPr>
      </w:pPr>
    </w:p>
    <w:p w14:paraId="2C31D97B" w14:textId="0F711A01" w:rsidR="00B00B78" w:rsidRDefault="00B00B78" w:rsidP="00C3057D">
      <w:pPr>
        <w:ind w:left="360"/>
        <w:rPr>
          <w:bCs/>
          <w:szCs w:val="20"/>
        </w:rPr>
      </w:pPr>
    </w:p>
    <w:p w14:paraId="00FF556F" w14:textId="5E7D3839" w:rsidR="00B00B78" w:rsidRDefault="00B00B78" w:rsidP="00C3057D">
      <w:pPr>
        <w:ind w:left="360"/>
        <w:rPr>
          <w:bCs/>
          <w:szCs w:val="20"/>
        </w:rPr>
      </w:pPr>
    </w:p>
    <w:p w14:paraId="04E2C5B1" w14:textId="77777777" w:rsidR="00B00B78" w:rsidRDefault="00B00B78" w:rsidP="00C3057D">
      <w:pPr>
        <w:ind w:left="360"/>
        <w:rPr>
          <w:bCs/>
          <w:szCs w:val="20"/>
        </w:rPr>
      </w:pPr>
    </w:p>
    <w:p w14:paraId="1F077591" w14:textId="77777777" w:rsidR="00C3057D" w:rsidRDefault="00C3057D" w:rsidP="00C3057D">
      <w:pPr>
        <w:ind w:left="360"/>
        <w:rPr>
          <w:bCs/>
          <w:szCs w:val="20"/>
        </w:rPr>
      </w:pPr>
    </w:p>
    <w:p w14:paraId="5DCBA003" w14:textId="77777777" w:rsidR="00C3057D" w:rsidRPr="00F76FF1" w:rsidRDefault="00C3057D" w:rsidP="00C3057D">
      <w:pPr>
        <w:shd w:val="clear" w:color="auto" w:fill="FFFFFF"/>
        <w:spacing w:line="280" w:lineRule="exact"/>
        <w:rPr>
          <w:i/>
          <w:szCs w:val="20"/>
        </w:rPr>
      </w:pPr>
      <w:r w:rsidRPr="00B00B78">
        <w:rPr>
          <w:b/>
          <w:i/>
          <w:szCs w:val="20"/>
        </w:rPr>
        <w:t>Pièces jointes</w:t>
      </w:r>
      <w:r>
        <w:rPr>
          <w:b/>
          <w:i/>
          <w:szCs w:val="20"/>
          <w:u w:val="single"/>
        </w:rPr>
        <w:t xml:space="preserve"> </w:t>
      </w:r>
      <w:r w:rsidRPr="00F76FF1">
        <w:rPr>
          <w:i/>
          <w:szCs w:val="20"/>
        </w:rPr>
        <w:t>(à disposition sur le site académique)</w:t>
      </w:r>
    </w:p>
    <w:p w14:paraId="67C683B4" w14:textId="746B87E2" w:rsidR="00C3057D" w:rsidRPr="003E1BDC" w:rsidRDefault="006A756E" w:rsidP="00C3057D">
      <w:pPr>
        <w:numPr>
          <w:ilvl w:val="0"/>
          <w:numId w:val="10"/>
        </w:numPr>
        <w:shd w:val="clear" w:color="auto" w:fill="FFFFFF"/>
        <w:spacing w:after="0" w:line="280" w:lineRule="exact"/>
        <w:rPr>
          <w:color w:val="0070C0"/>
          <w:szCs w:val="20"/>
        </w:rPr>
      </w:pPr>
      <w:hyperlink r:id="rId8" w:history="1">
        <w:r w:rsidR="00C3057D" w:rsidRPr="003E1BDC">
          <w:rPr>
            <w:rStyle w:val="Lienhypertexte"/>
            <w:color w:val="0070C0"/>
            <w:szCs w:val="20"/>
          </w:rPr>
          <w:t>Modèle de convention de mise en réseau autour d’une U</w:t>
        </w:r>
        <w:r w:rsidR="00B848B7" w:rsidRPr="003E1BDC">
          <w:rPr>
            <w:rStyle w:val="Lienhypertexte"/>
            <w:color w:val="0070C0"/>
            <w:szCs w:val="20"/>
          </w:rPr>
          <w:t>lis</w:t>
        </w:r>
        <w:r w:rsidR="00473D5F" w:rsidRPr="003E1BDC">
          <w:rPr>
            <w:rStyle w:val="Lienhypertexte"/>
            <w:color w:val="0070C0"/>
            <w:szCs w:val="20"/>
          </w:rPr>
          <w:t xml:space="preserve"> </w:t>
        </w:r>
        <w:r w:rsidR="00C3057D" w:rsidRPr="003E1BDC">
          <w:rPr>
            <w:rStyle w:val="Lienhypertexte"/>
            <w:color w:val="0070C0"/>
            <w:szCs w:val="20"/>
          </w:rPr>
          <w:t>LP et annexe</w:t>
        </w:r>
      </w:hyperlink>
    </w:p>
    <w:p w14:paraId="45B790D1" w14:textId="76EF53D2" w:rsidR="00C3057D" w:rsidRPr="003E1BDC" w:rsidRDefault="006A756E" w:rsidP="00C3057D">
      <w:pPr>
        <w:numPr>
          <w:ilvl w:val="0"/>
          <w:numId w:val="10"/>
        </w:numPr>
        <w:shd w:val="clear" w:color="auto" w:fill="FFFFFF"/>
        <w:spacing w:after="0" w:line="280" w:lineRule="exact"/>
        <w:rPr>
          <w:color w:val="0070C0"/>
          <w:szCs w:val="20"/>
        </w:rPr>
      </w:pPr>
      <w:hyperlink r:id="rId9" w:history="1">
        <w:r w:rsidR="00C3057D" w:rsidRPr="003E1BDC">
          <w:rPr>
            <w:rStyle w:val="Lienhypertexte"/>
            <w:color w:val="0070C0"/>
            <w:szCs w:val="20"/>
          </w:rPr>
          <w:t>Modèle de convention de coopération avec les établissements et services médico-sociaux et annexe</w:t>
        </w:r>
      </w:hyperlink>
    </w:p>
    <w:p w14:paraId="2E3B8881" w14:textId="71F4A1D7" w:rsidR="00C3057D" w:rsidRPr="003E1BDC" w:rsidRDefault="006A756E" w:rsidP="00C3057D">
      <w:pPr>
        <w:numPr>
          <w:ilvl w:val="0"/>
          <w:numId w:val="10"/>
        </w:numPr>
        <w:shd w:val="clear" w:color="auto" w:fill="FFFFFF"/>
        <w:spacing w:after="0" w:line="280" w:lineRule="exact"/>
        <w:rPr>
          <w:color w:val="0070C0"/>
          <w:szCs w:val="20"/>
        </w:rPr>
      </w:pPr>
      <w:hyperlink r:id="rId10" w:history="1">
        <w:r w:rsidR="00C3057D" w:rsidRPr="003E1BDC">
          <w:rPr>
            <w:rStyle w:val="Lienhypertexte"/>
            <w:color w:val="0070C0"/>
            <w:szCs w:val="20"/>
          </w:rPr>
          <w:t>Modèle d’attestation de compétences professionnelles</w:t>
        </w:r>
      </w:hyperlink>
    </w:p>
    <w:p w14:paraId="616F5B60" w14:textId="31C86DF4" w:rsidR="00286612" w:rsidRPr="000751C7" w:rsidRDefault="006A756E" w:rsidP="000751C7">
      <w:pPr>
        <w:spacing w:after="0"/>
        <w:rPr>
          <w:rFonts w:ascii="Arial" w:hAnsi="Arial" w:cs="Arial"/>
        </w:rPr>
      </w:pPr>
    </w:p>
    <w:sectPr w:rsidR="00286612" w:rsidRPr="000751C7" w:rsidSect="0083067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F84C" w14:textId="77777777" w:rsidR="001C1C06" w:rsidRDefault="001C1C06">
      <w:pPr>
        <w:spacing w:after="0" w:line="240" w:lineRule="auto"/>
      </w:pPr>
      <w:r>
        <w:separator/>
      </w:r>
    </w:p>
  </w:endnote>
  <w:endnote w:type="continuationSeparator" w:id="0">
    <w:p w14:paraId="3798BFD6" w14:textId="77777777" w:rsidR="001C1C06" w:rsidRDefault="001C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8EFF" w14:textId="77777777" w:rsidR="0075378F" w:rsidRPr="00B73FCD" w:rsidRDefault="00821425" w:rsidP="00B73FCD">
    <w:pPr>
      <w:pStyle w:val="Pieddepage"/>
      <w:jc w:val="right"/>
      <w:rPr>
        <w:sz w:val="16"/>
      </w:rPr>
    </w:pPr>
    <w:r w:rsidRPr="001B7EF9">
      <w:rPr>
        <w:sz w:val="16"/>
      </w:rPr>
      <w:t xml:space="preserve">Fiche repère </w:t>
    </w:r>
    <w:r>
      <w:rPr>
        <w:sz w:val="16"/>
      </w:rPr>
      <w:t xml:space="preserve">Coordonnateur </w:t>
    </w:r>
    <w:proofErr w:type="spellStart"/>
    <w:r>
      <w:rPr>
        <w:sz w:val="16"/>
      </w:rPr>
      <w:t>Pial</w:t>
    </w:r>
    <w:proofErr w:type="spellEnd"/>
    <w:r w:rsidRPr="001B7EF9">
      <w:rPr>
        <w:sz w:val="16"/>
      </w:rPr>
      <w:t xml:space="preserve"> – </w:t>
    </w:r>
    <w:r>
      <w:rPr>
        <w:sz w:val="16"/>
      </w:rPr>
      <w:t>Juin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709A" w14:textId="2DE32416" w:rsidR="00540B5F" w:rsidRDefault="00A03C74" w:rsidP="00A03C74">
    <w:pPr>
      <w:pStyle w:val="Pieddepage"/>
      <w:tabs>
        <w:tab w:val="clear" w:pos="4536"/>
        <w:tab w:val="clear" w:pos="9072"/>
        <w:tab w:val="center" w:pos="5103"/>
        <w:tab w:val="right" w:pos="9923"/>
      </w:tabs>
      <w:rPr>
        <w:sz w:val="16"/>
        <w:szCs w:val="18"/>
      </w:rPr>
    </w:pPr>
    <w:r w:rsidRPr="00A03C74">
      <w:rPr>
        <w:sz w:val="16"/>
        <w:szCs w:val="18"/>
      </w:rPr>
      <w:t>Ulis – Protocole</w:t>
    </w:r>
    <w:r w:rsidRPr="00A03C74">
      <w:rPr>
        <w:sz w:val="16"/>
        <w:szCs w:val="18"/>
      </w:rPr>
      <w:tab/>
    </w:r>
    <w:sdt>
      <w:sdtPr>
        <w:rPr>
          <w:sz w:val="16"/>
          <w:szCs w:val="18"/>
        </w:rPr>
        <w:id w:val="1674381244"/>
        <w:docPartObj>
          <w:docPartGallery w:val="Page Numbers (Bottom of Page)"/>
          <w:docPartUnique/>
        </w:docPartObj>
      </w:sdtPr>
      <w:sdtEndPr/>
      <w:sdtContent>
        <w:r w:rsidRPr="00A03C74">
          <w:rPr>
            <w:sz w:val="16"/>
            <w:szCs w:val="18"/>
          </w:rPr>
          <w:fldChar w:fldCharType="begin"/>
        </w:r>
        <w:r w:rsidRPr="00A03C74">
          <w:rPr>
            <w:sz w:val="16"/>
            <w:szCs w:val="18"/>
          </w:rPr>
          <w:instrText>PAGE   \* MERGEFORMAT</w:instrText>
        </w:r>
        <w:r w:rsidRPr="00A03C74">
          <w:rPr>
            <w:sz w:val="16"/>
            <w:szCs w:val="18"/>
          </w:rPr>
          <w:fldChar w:fldCharType="separate"/>
        </w:r>
        <w:r w:rsidR="00373576">
          <w:rPr>
            <w:noProof/>
            <w:sz w:val="16"/>
            <w:szCs w:val="18"/>
          </w:rPr>
          <w:t>4</w:t>
        </w:r>
        <w:r w:rsidRPr="00A03C74">
          <w:rPr>
            <w:sz w:val="16"/>
            <w:szCs w:val="18"/>
          </w:rPr>
          <w:fldChar w:fldCharType="end"/>
        </w:r>
      </w:sdtContent>
    </w:sdt>
    <w:r w:rsidRPr="00A03C74">
      <w:rPr>
        <w:sz w:val="16"/>
        <w:szCs w:val="18"/>
      </w:rPr>
      <w:tab/>
      <w:t xml:space="preserve">MAJ </w:t>
    </w:r>
    <w:proofErr w:type="spellStart"/>
    <w:r w:rsidR="00E73D61">
      <w:rPr>
        <w:sz w:val="16"/>
        <w:szCs w:val="18"/>
      </w:rPr>
      <w:t>d</w:t>
    </w:r>
    <w:r w:rsidR="006A5663">
      <w:rPr>
        <w:sz w:val="16"/>
        <w:szCs w:val="18"/>
      </w:rPr>
      <w:t>é</w:t>
    </w:r>
    <w:r w:rsidR="00E73D61">
      <w:rPr>
        <w:sz w:val="16"/>
        <w:szCs w:val="18"/>
      </w:rPr>
      <w:t>c</w:t>
    </w:r>
    <w:proofErr w:type="spellEnd"/>
    <w:r w:rsidRPr="00A03C74">
      <w:rPr>
        <w:sz w:val="16"/>
        <w:szCs w:val="18"/>
      </w:rPr>
      <w:t xml:space="preserve"> 202</w:t>
    </w:r>
    <w:r w:rsidR="006A5663">
      <w:rPr>
        <w:sz w:val="16"/>
        <w:szCs w:val="18"/>
      </w:rPr>
      <w:t>3</w:t>
    </w:r>
  </w:p>
  <w:p w14:paraId="0077C358" w14:textId="77777777" w:rsidR="00940022" w:rsidRPr="00A03C74" w:rsidRDefault="00940022" w:rsidP="00A03C74">
    <w:pPr>
      <w:pStyle w:val="Pieddepage"/>
      <w:tabs>
        <w:tab w:val="clear" w:pos="4536"/>
        <w:tab w:val="clear" w:pos="9072"/>
        <w:tab w:val="center" w:pos="5103"/>
        <w:tab w:val="right" w:pos="9923"/>
      </w:tabs>
      <w:rPr>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5B91" w14:textId="0CE0CAFB" w:rsidR="00940022" w:rsidRDefault="00940022" w:rsidP="00940022">
    <w:pPr>
      <w:pStyle w:val="Pieddepage"/>
      <w:tabs>
        <w:tab w:val="clear" w:pos="4536"/>
        <w:tab w:val="clear" w:pos="9072"/>
        <w:tab w:val="center" w:pos="5103"/>
        <w:tab w:val="right" w:pos="9923"/>
      </w:tabs>
      <w:rPr>
        <w:sz w:val="16"/>
        <w:szCs w:val="18"/>
      </w:rPr>
    </w:pPr>
    <w:r w:rsidRPr="00A03C74">
      <w:rPr>
        <w:sz w:val="16"/>
        <w:szCs w:val="18"/>
      </w:rPr>
      <w:t>Ulis – Protocole</w:t>
    </w:r>
    <w:r w:rsidRPr="00A03C74">
      <w:rPr>
        <w:sz w:val="16"/>
        <w:szCs w:val="18"/>
      </w:rPr>
      <w:tab/>
    </w:r>
    <w:sdt>
      <w:sdtPr>
        <w:rPr>
          <w:sz w:val="16"/>
          <w:szCs w:val="18"/>
        </w:rPr>
        <w:id w:val="773678923"/>
        <w:docPartObj>
          <w:docPartGallery w:val="Page Numbers (Bottom of Page)"/>
          <w:docPartUnique/>
        </w:docPartObj>
      </w:sdtPr>
      <w:sdtEndPr/>
      <w:sdtContent>
        <w:r w:rsidRPr="00A03C74">
          <w:rPr>
            <w:sz w:val="16"/>
            <w:szCs w:val="18"/>
          </w:rPr>
          <w:fldChar w:fldCharType="begin"/>
        </w:r>
        <w:r w:rsidRPr="00A03C74">
          <w:rPr>
            <w:sz w:val="16"/>
            <w:szCs w:val="18"/>
          </w:rPr>
          <w:instrText>PAGE   \* MERGEFORMAT</w:instrText>
        </w:r>
        <w:r w:rsidRPr="00A03C74">
          <w:rPr>
            <w:sz w:val="16"/>
            <w:szCs w:val="18"/>
          </w:rPr>
          <w:fldChar w:fldCharType="separate"/>
        </w:r>
        <w:r>
          <w:rPr>
            <w:sz w:val="16"/>
            <w:szCs w:val="18"/>
          </w:rPr>
          <w:t>3</w:t>
        </w:r>
        <w:r w:rsidRPr="00A03C74">
          <w:rPr>
            <w:sz w:val="16"/>
            <w:szCs w:val="18"/>
          </w:rPr>
          <w:fldChar w:fldCharType="end"/>
        </w:r>
      </w:sdtContent>
    </w:sdt>
    <w:r w:rsidRPr="00A03C74">
      <w:rPr>
        <w:sz w:val="16"/>
        <w:szCs w:val="18"/>
      </w:rPr>
      <w:tab/>
      <w:t xml:space="preserve">MAJ </w:t>
    </w:r>
    <w:proofErr w:type="spellStart"/>
    <w:r w:rsidR="00E73D61">
      <w:rPr>
        <w:sz w:val="16"/>
        <w:szCs w:val="18"/>
      </w:rPr>
      <w:t>d</w:t>
    </w:r>
    <w:r w:rsidR="006A5663">
      <w:rPr>
        <w:sz w:val="16"/>
        <w:szCs w:val="18"/>
      </w:rPr>
      <w:t>éc</w:t>
    </w:r>
    <w:proofErr w:type="spellEnd"/>
    <w:r w:rsidR="006A5663">
      <w:rPr>
        <w:sz w:val="16"/>
        <w:szCs w:val="18"/>
      </w:rPr>
      <w:t xml:space="preserve"> </w:t>
    </w:r>
    <w:r w:rsidRPr="00A03C74">
      <w:rPr>
        <w:sz w:val="16"/>
        <w:szCs w:val="18"/>
      </w:rPr>
      <w:t>202</w:t>
    </w:r>
    <w:r w:rsidR="006A5663">
      <w:rPr>
        <w:sz w:val="16"/>
        <w:szCs w:val="18"/>
      </w:rPr>
      <w:t>3</w:t>
    </w:r>
  </w:p>
  <w:p w14:paraId="4577C0D8" w14:textId="4415E56A" w:rsidR="00830674" w:rsidRPr="00940022" w:rsidRDefault="00830674" w:rsidP="009400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ECD8A" w14:textId="77777777" w:rsidR="001C1C06" w:rsidRDefault="001C1C06">
      <w:pPr>
        <w:spacing w:after="0" w:line="240" w:lineRule="auto"/>
      </w:pPr>
      <w:r>
        <w:separator/>
      </w:r>
    </w:p>
  </w:footnote>
  <w:footnote w:type="continuationSeparator" w:id="0">
    <w:p w14:paraId="58856DD3" w14:textId="77777777" w:rsidR="001C1C06" w:rsidRDefault="001C1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0D82" w14:textId="77777777" w:rsidR="00B24845" w:rsidRDefault="006A756E">
    <w:pPr>
      <w:pStyle w:val="En-tte"/>
    </w:pPr>
    <w:r>
      <w:rPr>
        <w:noProof/>
      </w:rPr>
      <w:pict w14:anchorId="59F72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9626" o:spid="_x0000_s2050" type="#_x0000_t136" style="position:absolute;margin-left:0;margin-top:0;width:573.85pt;height:163.95pt;rotation:315;z-index:-251656704;mso-position-horizontal:center;mso-position-horizontal-relative:margin;mso-position-vertical:center;mso-position-vertical-relative:margin" o:allowincell="f" fillcolor="#a5a5a5 [2092]"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816B" w14:textId="6B13D0CB" w:rsidR="00AF51E0" w:rsidRPr="00830674" w:rsidRDefault="006A756E" w:rsidP="00B301DA">
    <w:pPr>
      <w:pStyle w:val="En-tte"/>
      <w:rPr>
        <w:rFonts w:asciiTheme="minorHAnsi" w:hAnsiTheme="minorHAnsi" w:cstheme="minorBidi"/>
        <w:b/>
        <w:color w:val="5A5A5A" w:themeColor="text1" w:themeTint="A5"/>
        <w:sz w:val="16"/>
        <w:szCs w:val="16"/>
      </w:rPr>
    </w:pPr>
  </w:p>
  <w:p w14:paraId="46B6C927" w14:textId="77777777" w:rsidR="00867F82" w:rsidRDefault="006A756E" w:rsidP="00B301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7C36" w14:textId="42CC426B" w:rsidR="00830674" w:rsidRDefault="002735A6">
    <w:pPr>
      <w:pStyle w:val="En-tte"/>
    </w:pPr>
    <w:r w:rsidRPr="002F30A3">
      <w:rPr>
        <w:rStyle w:val="Rfrencelgre"/>
        <w:rFonts w:asciiTheme="minorHAnsi" w:hAnsiTheme="minorHAnsi" w:cstheme="minorBidi"/>
        <w:b/>
        <w:noProof/>
        <w:sz w:val="16"/>
        <w:szCs w:val="16"/>
        <w:lang w:eastAsia="fr-FR"/>
      </w:rPr>
      <mc:AlternateContent>
        <mc:Choice Requires="wps">
          <w:drawing>
            <wp:anchor distT="0" distB="0" distL="114300" distR="114300" simplePos="0" relativeHeight="251658752" behindDoc="0" locked="0" layoutInCell="1" allowOverlap="1" wp14:anchorId="716823FC" wp14:editId="28DE830B">
              <wp:simplePos x="0" y="0"/>
              <wp:positionH relativeFrom="margin">
                <wp:posOffset>1358900</wp:posOffset>
              </wp:positionH>
              <wp:positionV relativeFrom="paragraph">
                <wp:posOffset>96520</wp:posOffset>
              </wp:positionV>
              <wp:extent cx="4140000" cy="792000"/>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0" cy="792000"/>
                      </a:xfrm>
                      <a:prstGeom prst="rect">
                        <a:avLst/>
                      </a:prstGeom>
                      <a:solidFill>
                        <a:schemeClr val="accent1">
                          <a:lumMod val="20000"/>
                          <a:lumOff val="80000"/>
                        </a:schemeClr>
                      </a:solidFill>
                      <a:ln>
                        <a:noFill/>
                      </a:ln>
                    </wps:spPr>
                    <wps:txbx>
                      <w:txbxContent>
                        <w:p w14:paraId="12C47932" w14:textId="77777777" w:rsidR="00185D20" w:rsidRDefault="00185D20" w:rsidP="00185D20">
                          <w:pPr>
                            <w:tabs>
                              <w:tab w:val="center" w:pos="3119"/>
                            </w:tabs>
                            <w:spacing w:after="0"/>
                            <w:jc w:val="center"/>
                            <w:rPr>
                              <w:rFonts w:ascii="Verdana" w:hAnsi="Verdana" w:cs="Arial"/>
                              <w:b/>
                              <w:color w:val="244938" w:themeColor="accent1" w:themeShade="80"/>
                              <w:sz w:val="28"/>
                              <w:szCs w:val="28"/>
                            </w:rPr>
                          </w:pPr>
                          <w:r w:rsidRPr="00185D20">
                            <w:rPr>
                              <w:rFonts w:ascii="Verdana" w:hAnsi="Verdana" w:cs="Arial"/>
                              <w:b/>
                              <w:color w:val="244938" w:themeColor="accent1" w:themeShade="80"/>
                              <w:sz w:val="28"/>
                              <w:szCs w:val="28"/>
                            </w:rPr>
                            <w:t>Unités localisées pour</w:t>
                          </w:r>
                        </w:p>
                        <w:p w14:paraId="17F97B2A" w14:textId="3AFB2EBD" w:rsidR="00185D20" w:rsidRPr="00185D20" w:rsidRDefault="00185D20" w:rsidP="00185D20">
                          <w:pPr>
                            <w:tabs>
                              <w:tab w:val="center" w:pos="3119"/>
                            </w:tabs>
                            <w:spacing w:after="60"/>
                            <w:jc w:val="center"/>
                            <w:rPr>
                              <w:rFonts w:ascii="Verdana" w:hAnsi="Verdana" w:cs="Arial"/>
                              <w:b/>
                              <w:color w:val="244938" w:themeColor="accent1" w:themeShade="80"/>
                              <w:sz w:val="28"/>
                              <w:szCs w:val="28"/>
                            </w:rPr>
                          </w:pPr>
                          <w:r w:rsidRPr="00185D20">
                            <w:rPr>
                              <w:rFonts w:ascii="Verdana" w:hAnsi="Verdana" w:cs="Arial"/>
                              <w:b/>
                              <w:color w:val="244938" w:themeColor="accent1" w:themeShade="80"/>
                              <w:sz w:val="28"/>
                              <w:szCs w:val="28"/>
                            </w:rPr>
                            <w:t>l’inclusion scolaire</w:t>
                          </w:r>
                          <w:r>
                            <w:rPr>
                              <w:rFonts w:ascii="Verdana" w:hAnsi="Verdana" w:cs="Arial"/>
                              <w:b/>
                              <w:color w:val="244938" w:themeColor="accent1" w:themeShade="80"/>
                              <w:sz w:val="28"/>
                              <w:szCs w:val="28"/>
                            </w:rPr>
                            <w:t xml:space="preserve"> - Ulis</w:t>
                          </w:r>
                        </w:p>
                        <w:p w14:paraId="441E48A0" w14:textId="5C935ABD" w:rsidR="00830674" w:rsidRPr="00185D20" w:rsidRDefault="00830674" w:rsidP="00185D20">
                          <w:pPr>
                            <w:tabs>
                              <w:tab w:val="center" w:pos="3119"/>
                            </w:tabs>
                            <w:spacing w:after="0"/>
                            <w:jc w:val="center"/>
                            <w:rPr>
                              <w:rFonts w:ascii="Verdana" w:hAnsi="Verdana"/>
                              <w:color w:val="244938" w:themeColor="accent1" w:themeShade="80"/>
                              <w:szCs w:val="20"/>
                            </w:rPr>
                          </w:pPr>
                          <w:r w:rsidRPr="00185D20">
                            <w:rPr>
                              <w:rFonts w:ascii="Verdana" w:hAnsi="Verdana"/>
                              <w:b/>
                              <w:color w:val="244938" w:themeColor="accent1" w:themeShade="80"/>
                              <w:szCs w:val="20"/>
                            </w:rPr>
                            <w:t>202</w:t>
                          </w:r>
                          <w:r w:rsidR="006A5663">
                            <w:rPr>
                              <w:rFonts w:ascii="Verdana" w:hAnsi="Verdana"/>
                              <w:b/>
                              <w:color w:val="244938" w:themeColor="accent1" w:themeShade="80"/>
                              <w:szCs w:val="20"/>
                            </w:rPr>
                            <w:t>3</w:t>
                          </w:r>
                          <w:r w:rsidRPr="00185D20">
                            <w:rPr>
                              <w:rFonts w:ascii="Verdana" w:hAnsi="Verdana"/>
                              <w:b/>
                              <w:color w:val="244938" w:themeColor="accent1" w:themeShade="80"/>
                              <w:szCs w:val="20"/>
                            </w:rPr>
                            <w:t>-202</w:t>
                          </w:r>
                          <w:r w:rsidR="006A5663">
                            <w:rPr>
                              <w:rFonts w:ascii="Verdana" w:hAnsi="Verdana"/>
                              <w:b/>
                              <w:color w:val="244938" w:themeColor="accent1" w:themeShade="8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823FC" id="_x0000_t202" coordsize="21600,21600" o:spt="202" path="m,l,21600r21600,l21600,xe">
              <v:stroke joinstyle="miter"/>
              <v:path gradientshapeok="t" o:connecttype="rect"/>
            </v:shapetype>
            <v:shape id="Text Box 2" o:spid="_x0000_s1026" type="#_x0000_t202" style="position:absolute;margin-left:107pt;margin-top:7.6pt;width:326pt;height:62.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" fillcolor="#d7ebe2 [660]" stroked="f">
              <v:textbox>
                <w:txbxContent>
                  <w:p w14:paraId="12C47932" w14:textId="77777777" w:rsidR="00185D20" w:rsidRDefault="00185D20" w:rsidP="00185D20">
                    <w:pPr>
                      <w:tabs>
                        <w:tab w:val="center" w:pos="3119"/>
                      </w:tabs>
                      <w:spacing w:after="0"/>
                      <w:jc w:val="center"/>
                      <w:rPr>
                        <w:rFonts w:ascii="Verdana" w:hAnsi="Verdana" w:cs="Arial"/>
                        <w:b/>
                        <w:color w:val="244938" w:themeColor="accent1" w:themeShade="80"/>
                        <w:sz w:val="28"/>
                        <w:szCs w:val="28"/>
                      </w:rPr>
                    </w:pPr>
                    <w:r w:rsidRPr="00185D20">
                      <w:rPr>
                        <w:rFonts w:ascii="Verdana" w:hAnsi="Verdana" w:cs="Arial"/>
                        <w:b/>
                        <w:color w:val="244938" w:themeColor="accent1" w:themeShade="80"/>
                        <w:sz w:val="28"/>
                        <w:szCs w:val="28"/>
                      </w:rPr>
                      <w:t>Unités localisées pour</w:t>
                    </w:r>
                  </w:p>
                  <w:p w14:paraId="17F97B2A" w14:textId="3AFB2EBD" w:rsidR="00185D20" w:rsidRPr="00185D20" w:rsidRDefault="00185D20" w:rsidP="00185D20">
                    <w:pPr>
                      <w:tabs>
                        <w:tab w:val="center" w:pos="3119"/>
                      </w:tabs>
                      <w:spacing w:after="60"/>
                      <w:jc w:val="center"/>
                      <w:rPr>
                        <w:rFonts w:ascii="Verdana" w:hAnsi="Verdana" w:cs="Arial"/>
                        <w:b/>
                        <w:color w:val="244938" w:themeColor="accent1" w:themeShade="80"/>
                        <w:sz w:val="28"/>
                        <w:szCs w:val="28"/>
                      </w:rPr>
                    </w:pPr>
                    <w:r w:rsidRPr="00185D20">
                      <w:rPr>
                        <w:rFonts w:ascii="Verdana" w:hAnsi="Verdana" w:cs="Arial"/>
                        <w:b/>
                        <w:color w:val="244938" w:themeColor="accent1" w:themeShade="80"/>
                        <w:sz w:val="28"/>
                        <w:szCs w:val="28"/>
                      </w:rPr>
                      <w:t>l’inclusion scolaire</w:t>
                    </w:r>
                    <w:r>
                      <w:rPr>
                        <w:rFonts w:ascii="Verdana" w:hAnsi="Verdana" w:cs="Arial"/>
                        <w:b/>
                        <w:color w:val="244938" w:themeColor="accent1" w:themeShade="80"/>
                        <w:sz w:val="28"/>
                        <w:szCs w:val="28"/>
                      </w:rPr>
                      <w:t xml:space="preserve"> - Ulis</w:t>
                    </w:r>
                  </w:p>
                  <w:p w14:paraId="441E48A0" w14:textId="5C935ABD" w:rsidR="00830674" w:rsidRPr="00185D20" w:rsidRDefault="00830674" w:rsidP="00185D20">
                    <w:pPr>
                      <w:tabs>
                        <w:tab w:val="center" w:pos="3119"/>
                      </w:tabs>
                      <w:spacing w:after="0"/>
                      <w:jc w:val="center"/>
                      <w:rPr>
                        <w:rFonts w:ascii="Verdana" w:hAnsi="Verdana"/>
                        <w:color w:val="244938" w:themeColor="accent1" w:themeShade="80"/>
                        <w:szCs w:val="20"/>
                      </w:rPr>
                    </w:pPr>
                    <w:r w:rsidRPr="00185D20">
                      <w:rPr>
                        <w:rFonts w:ascii="Verdana" w:hAnsi="Verdana"/>
                        <w:b/>
                        <w:color w:val="244938" w:themeColor="accent1" w:themeShade="80"/>
                        <w:szCs w:val="20"/>
                      </w:rPr>
                      <w:t>202</w:t>
                    </w:r>
                    <w:r w:rsidR="006A5663">
                      <w:rPr>
                        <w:rFonts w:ascii="Verdana" w:hAnsi="Verdana"/>
                        <w:b/>
                        <w:color w:val="244938" w:themeColor="accent1" w:themeShade="80"/>
                        <w:szCs w:val="20"/>
                      </w:rPr>
                      <w:t>3</w:t>
                    </w:r>
                    <w:r w:rsidRPr="00185D20">
                      <w:rPr>
                        <w:rFonts w:ascii="Verdana" w:hAnsi="Verdana"/>
                        <w:b/>
                        <w:color w:val="244938" w:themeColor="accent1" w:themeShade="80"/>
                        <w:szCs w:val="20"/>
                      </w:rPr>
                      <w:t>-202</w:t>
                    </w:r>
                    <w:r w:rsidR="006A5663">
                      <w:rPr>
                        <w:rFonts w:ascii="Verdana" w:hAnsi="Verdana"/>
                        <w:b/>
                        <w:color w:val="244938" w:themeColor="accent1" w:themeShade="80"/>
                        <w:szCs w:val="20"/>
                      </w:rPr>
                      <w:t>4</w:t>
                    </w:r>
                  </w:p>
                </w:txbxContent>
              </v:textbox>
              <w10:wrap anchorx="margin"/>
            </v:shape>
          </w:pict>
        </mc:Fallback>
      </mc:AlternateContent>
    </w:r>
    <w:r w:rsidR="00840C7E" w:rsidRPr="002F30A3">
      <w:rPr>
        <w:rStyle w:val="Rfrencelgre"/>
        <w:rFonts w:asciiTheme="minorHAnsi" w:hAnsiTheme="minorHAnsi" w:cstheme="minorBidi"/>
        <w:b/>
        <w:noProof/>
        <w:sz w:val="16"/>
        <w:szCs w:val="16"/>
        <w:lang w:eastAsia="fr-FR"/>
      </w:rPr>
      <w:drawing>
        <wp:anchor distT="0" distB="0" distL="114300" distR="114300" simplePos="0" relativeHeight="251655680" behindDoc="0" locked="0" layoutInCell="1" allowOverlap="1" wp14:anchorId="7F207566" wp14:editId="5E1B1C71">
          <wp:simplePos x="0" y="0"/>
          <wp:positionH relativeFrom="column">
            <wp:posOffset>5796915</wp:posOffset>
          </wp:positionH>
          <wp:positionV relativeFrom="paragraph">
            <wp:posOffset>-172720</wp:posOffset>
          </wp:positionV>
          <wp:extent cx="909320" cy="647700"/>
          <wp:effectExtent l="0" t="0" r="5080" b="0"/>
          <wp:wrapNone/>
          <wp:docPr id="9" name="Image 9"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tableau blanc&#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320" cy="647700"/>
                  </a:xfrm>
                  <a:prstGeom prst="rect">
                    <a:avLst/>
                  </a:prstGeom>
                </pic:spPr>
              </pic:pic>
            </a:graphicData>
          </a:graphic>
        </wp:anchor>
      </w:drawing>
    </w:r>
  </w:p>
  <w:p w14:paraId="62CFED05" w14:textId="50D67B37" w:rsidR="00830674" w:rsidRDefault="00830674">
    <w:pPr>
      <w:pStyle w:val="En-tte"/>
    </w:pPr>
  </w:p>
  <w:p w14:paraId="5FE6B31B" w14:textId="556BF570" w:rsidR="00830674" w:rsidRDefault="00830674">
    <w:pPr>
      <w:pStyle w:val="En-tte"/>
    </w:pPr>
  </w:p>
  <w:p w14:paraId="1DD84ABF" w14:textId="29B3AFBE" w:rsidR="00830674" w:rsidRDefault="002735A6">
    <w:pPr>
      <w:pStyle w:val="En-tte"/>
    </w:pPr>
    <w:r w:rsidRPr="002F30A3">
      <w:rPr>
        <w:rStyle w:val="Rfrencelgre"/>
        <w:rFonts w:asciiTheme="minorHAnsi" w:hAnsiTheme="minorHAnsi" w:cstheme="minorBidi"/>
        <w:b/>
        <w:noProof/>
        <w:sz w:val="16"/>
        <w:szCs w:val="16"/>
        <w:lang w:eastAsia="fr-FR"/>
      </w:rPr>
      <mc:AlternateContent>
        <mc:Choice Requires="wps">
          <w:drawing>
            <wp:anchor distT="0" distB="0" distL="114300" distR="114300" simplePos="0" relativeHeight="251656704" behindDoc="0" locked="0" layoutInCell="1" allowOverlap="1" wp14:anchorId="36587705" wp14:editId="4EB5FD1D">
              <wp:simplePos x="0" y="0"/>
              <wp:positionH relativeFrom="column">
                <wp:posOffset>5581650</wp:posOffset>
              </wp:positionH>
              <wp:positionV relativeFrom="paragraph">
                <wp:posOffset>13970</wp:posOffset>
              </wp:positionV>
              <wp:extent cx="1315720" cy="469900"/>
              <wp:effectExtent l="0" t="0" r="0" b="63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469900"/>
                      </a:xfrm>
                      <a:prstGeom prst="rect">
                        <a:avLst/>
                      </a:prstGeom>
                      <a:noFill/>
                      <a:ln w="9525">
                        <a:noFill/>
                        <a:miter lim="800000"/>
                        <a:headEnd/>
                        <a:tailEnd/>
                      </a:ln>
                    </wps:spPr>
                    <wps:txbx>
                      <w:txbxContent>
                        <w:p w14:paraId="212DC5ED" w14:textId="77777777" w:rsidR="00830674" w:rsidRPr="00B91851" w:rsidRDefault="00830674" w:rsidP="00830674">
                          <w:pPr>
                            <w:spacing w:after="0" w:line="240" w:lineRule="auto"/>
                            <w:jc w:val="center"/>
                            <w:rPr>
                              <w:b/>
                              <w:sz w:val="16"/>
                              <w:szCs w:val="16"/>
                            </w:rPr>
                          </w:pPr>
                          <w:r w:rsidRPr="00B91851">
                            <w:rPr>
                              <w:b/>
                              <w:sz w:val="16"/>
                              <w:szCs w:val="16"/>
                            </w:rPr>
                            <w:t>MIRAEP</w:t>
                          </w:r>
                        </w:p>
                        <w:p w14:paraId="740EC832" w14:textId="77777777" w:rsidR="00830674" w:rsidRDefault="00830674" w:rsidP="00830674">
                          <w:pPr>
                            <w:spacing w:after="0" w:line="240" w:lineRule="auto"/>
                            <w:jc w:val="center"/>
                            <w:rPr>
                              <w:sz w:val="12"/>
                              <w:szCs w:val="12"/>
                            </w:rPr>
                          </w:pPr>
                          <w:r w:rsidRPr="009914AD">
                            <w:rPr>
                              <w:sz w:val="12"/>
                              <w:szCs w:val="12"/>
                            </w:rPr>
                            <w:t>Mission de région académique</w:t>
                          </w:r>
                        </w:p>
                        <w:p w14:paraId="762321B8" w14:textId="77777777" w:rsidR="00830674" w:rsidRPr="009914AD" w:rsidRDefault="00830674" w:rsidP="00830674">
                          <w:pPr>
                            <w:spacing w:after="0" w:line="240" w:lineRule="auto"/>
                            <w:jc w:val="center"/>
                            <w:rPr>
                              <w:sz w:val="12"/>
                              <w:szCs w:val="12"/>
                            </w:rPr>
                          </w:pPr>
                          <w:r w:rsidRPr="009914AD">
                            <w:rPr>
                              <w:sz w:val="12"/>
                              <w:szCs w:val="12"/>
                            </w:rPr>
                            <w:t>pour la</w:t>
                          </w:r>
                          <w:r>
                            <w:rPr>
                              <w:sz w:val="12"/>
                              <w:szCs w:val="12"/>
                            </w:rPr>
                            <w:t xml:space="preserve"> </w:t>
                          </w:r>
                          <w:r w:rsidRPr="009914AD">
                            <w:rPr>
                              <w:sz w:val="12"/>
                              <w:szCs w:val="12"/>
                            </w:rPr>
                            <w:t>scolarisation des élèves à</w:t>
                          </w:r>
                          <w:r>
                            <w:rPr>
                              <w:sz w:val="12"/>
                              <w:szCs w:val="12"/>
                            </w:rPr>
                            <w:t xml:space="preserve"> </w:t>
                          </w:r>
                          <w:r w:rsidRPr="009914AD">
                            <w:rPr>
                              <w:sz w:val="12"/>
                              <w:szCs w:val="12"/>
                            </w:rPr>
                            <w:t>besoins éducatifs particuliers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6587705" id="Zone de texte 2" o:spid="_x0000_s1027" type="#_x0000_t202" style="position:absolute;margin-left:439.5pt;margin-top:1.1pt;width:103.6pt;height:37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" filled="f" stroked="f">
              <v:textbox>
                <w:txbxContent>
                  <w:p w14:paraId="212DC5ED" w14:textId="77777777" w:rsidR="00830674" w:rsidRPr="00B91851" w:rsidRDefault="00830674" w:rsidP="00830674">
                    <w:pPr>
                      <w:spacing w:after="0" w:line="240" w:lineRule="auto"/>
                      <w:jc w:val="center"/>
                      <w:rPr>
                        <w:b/>
                        <w:sz w:val="16"/>
                        <w:szCs w:val="16"/>
                      </w:rPr>
                    </w:pPr>
                    <w:r w:rsidRPr="00B91851">
                      <w:rPr>
                        <w:b/>
                        <w:sz w:val="16"/>
                        <w:szCs w:val="16"/>
                      </w:rPr>
                      <w:t>MIRAEP</w:t>
                    </w:r>
                  </w:p>
                  <w:p w14:paraId="740EC832" w14:textId="77777777" w:rsidR="00830674" w:rsidRDefault="00830674" w:rsidP="00830674">
                    <w:pPr>
                      <w:spacing w:after="0" w:line="240" w:lineRule="auto"/>
                      <w:jc w:val="center"/>
                      <w:rPr>
                        <w:sz w:val="12"/>
                        <w:szCs w:val="12"/>
                      </w:rPr>
                    </w:pPr>
                    <w:r w:rsidRPr="009914AD">
                      <w:rPr>
                        <w:sz w:val="12"/>
                        <w:szCs w:val="12"/>
                      </w:rPr>
                      <w:t>Mission de région académique</w:t>
                    </w:r>
                  </w:p>
                  <w:p w14:paraId="762321B8" w14:textId="77777777" w:rsidR="00830674" w:rsidRPr="009914AD" w:rsidRDefault="00830674" w:rsidP="00830674">
                    <w:pPr>
                      <w:spacing w:after="0" w:line="240" w:lineRule="auto"/>
                      <w:jc w:val="center"/>
                      <w:rPr>
                        <w:sz w:val="12"/>
                        <w:szCs w:val="12"/>
                      </w:rPr>
                    </w:pPr>
                    <w:r w:rsidRPr="009914AD">
                      <w:rPr>
                        <w:sz w:val="12"/>
                        <w:szCs w:val="12"/>
                      </w:rPr>
                      <w:t>pour la</w:t>
                    </w:r>
                    <w:r>
                      <w:rPr>
                        <w:sz w:val="12"/>
                        <w:szCs w:val="12"/>
                      </w:rPr>
                      <w:t xml:space="preserve"> </w:t>
                    </w:r>
                    <w:r w:rsidRPr="009914AD">
                      <w:rPr>
                        <w:sz w:val="12"/>
                        <w:szCs w:val="12"/>
                      </w:rPr>
                      <w:t>scolarisation des élèves à</w:t>
                    </w:r>
                    <w:r>
                      <w:rPr>
                        <w:sz w:val="12"/>
                        <w:szCs w:val="12"/>
                      </w:rPr>
                      <w:t xml:space="preserve"> </w:t>
                    </w:r>
                    <w:r w:rsidRPr="009914AD">
                      <w:rPr>
                        <w:sz w:val="12"/>
                        <w:szCs w:val="12"/>
                      </w:rPr>
                      <w:t>besoins éducatifs particuliers</w:t>
                    </w:r>
                  </w:p>
                </w:txbxContent>
              </v:textbox>
            </v:shape>
          </w:pict>
        </mc:Fallback>
      </mc:AlternateContent>
    </w:r>
  </w:p>
  <w:p w14:paraId="54284AB8" w14:textId="77777777" w:rsidR="002735A6" w:rsidRDefault="002735A6">
    <w:pPr>
      <w:pStyle w:val="En-tte"/>
    </w:pPr>
  </w:p>
  <w:p w14:paraId="056F0505" w14:textId="5A20218E" w:rsidR="00B24845" w:rsidRDefault="00830674">
    <w:pPr>
      <w:pStyle w:val="En-tte"/>
    </w:pPr>
    <w:r w:rsidRPr="002F30A3">
      <w:rPr>
        <w:rStyle w:val="Rfrencelgre"/>
        <w:rFonts w:asciiTheme="minorHAnsi" w:hAnsiTheme="minorHAnsi" w:cstheme="minorBidi"/>
        <w:b/>
        <w:noProof/>
        <w:sz w:val="16"/>
        <w:szCs w:val="16"/>
        <w:lang w:eastAsia="fr-FR"/>
      </w:rPr>
      <w:drawing>
        <wp:anchor distT="0" distB="0" distL="114300" distR="114300" simplePos="0" relativeHeight="251657728" behindDoc="0" locked="1" layoutInCell="1" allowOverlap="1" wp14:anchorId="391157B6" wp14:editId="6B296147">
          <wp:simplePos x="0" y="0"/>
          <wp:positionH relativeFrom="page">
            <wp:posOffset>372745</wp:posOffset>
          </wp:positionH>
          <wp:positionV relativeFrom="page">
            <wp:posOffset>369570</wp:posOffset>
          </wp:positionV>
          <wp:extent cx="1331595" cy="755015"/>
          <wp:effectExtent l="0" t="0" r="1905"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31595" cy="755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7D9C"/>
    <w:multiLevelType w:val="hybridMultilevel"/>
    <w:tmpl w:val="2B083A02"/>
    <w:lvl w:ilvl="0" w:tplc="0FB4A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F3CD9"/>
    <w:multiLevelType w:val="hybridMultilevel"/>
    <w:tmpl w:val="035E8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0D42C2"/>
    <w:multiLevelType w:val="hybridMultilevel"/>
    <w:tmpl w:val="64628042"/>
    <w:lvl w:ilvl="0" w:tplc="32E25D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8794E"/>
    <w:multiLevelType w:val="hybridMultilevel"/>
    <w:tmpl w:val="EAFED0A4"/>
    <w:lvl w:ilvl="0" w:tplc="2AFEA5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6B1B20"/>
    <w:multiLevelType w:val="hybridMultilevel"/>
    <w:tmpl w:val="B7BC3C3A"/>
    <w:lvl w:ilvl="0" w:tplc="A8E01A9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C473E"/>
    <w:multiLevelType w:val="hybridMultilevel"/>
    <w:tmpl w:val="167E4EA2"/>
    <w:lvl w:ilvl="0" w:tplc="5454B60A">
      <w:numFmt w:val="bullet"/>
      <w:lvlText w:val="-"/>
      <w:lvlJc w:val="left"/>
      <w:pPr>
        <w:ind w:left="720" w:hanging="360"/>
      </w:pPr>
      <w:rPr>
        <w:rFonts w:ascii="Roboto-Regular" w:eastAsia="Times New Roman" w:hAnsi="Roboto-Regular" w:cs="Roboto-Regular" w:hint="default"/>
        <w:color w:val="00000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8B7877"/>
    <w:multiLevelType w:val="multilevel"/>
    <w:tmpl w:val="59B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D1BC5"/>
    <w:multiLevelType w:val="hybridMultilevel"/>
    <w:tmpl w:val="DEF87B78"/>
    <w:lvl w:ilvl="0" w:tplc="E2CA17D6">
      <w:start w:val="3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E33D42"/>
    <w:multiLevelType w:val="hybridMultilevel"/>
    <w:tmpl w:val="B7C8EFEC"/>
    <w:lvl w:ilvl="0" w:tplc="A8E01A9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8310A6"/>
    <w:multiLevelType w:val="hybridMultilevel"/>
    <w:tmpl w:val="CE2C118E"/>
    <w:lvl w:ilvl="0" w:tplc="0FB4A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B71EFD"/>
    <w:multiLevelType w:val="hybridMultilevel"/>
    <w:tmpl w:val="25FA6860"/>
    <w:lvl w:ilvl="0" w:tplc="0762BAD6">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88461F"/>
    <w:multiLevelType w:val="hybridMultilevel"/>
    <w:tmpl w:val="7C66E498"/>
    <w:lvl w:ilvl="0" w:tplc="208CE86E">
      <w:start w:val="3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401D22"/>
    <w:multiLevelType w:val="hybridMultilevel"/>
    <w:tmpl w:val="987075F8"/>
    <w:lvl w:ilvl="0" w:tplc="A8E01A96">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7"/>
  </w:num>
  <w:num w:numId="6">
    <w:abstractNumId w:val="6"/>
  </w:num>
  <w:num w:numId="7">
    <w:abstractNumId w:val="10"/>
  </w:num>
  <w:num w:numId="8">
    <w:abstractNumId w:val="4"/>
  </w:num>
  <w:num w:numId="9">
    <w:abstractNumId w:val="12"/>
  </w:num>
  <w:num w:numId="10">
    <w:abstractNumId w:val="3"/>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A0"/>
    <w:rsid w:val="0007051D"/>
    <w:rsid w:val="000751C7"/>
    <w:rsid w:val="000C1B5D"/>
    <w:rsid w:val="000C40C6"/>
    <w:rsid w:val="001572C9"/>
    <w:rsid w:val="00185D20"/>
    <w:rsid w:val="001B08EB"/>
    <w:rsid w:val="001B722C"/>
    <w:rsid w:val="001C1C06"/>
    <w:rsid w:val="001D074D"/>
    <w:rsid w:val="002219AF"/>
    <w:rsid w:val="0025407C"/>
    <w:rsid w:val="0026716D"/>
    <w:rsid w:val="002735A6"/>
    <w:rsid w:val="00283926"/>
    <w:rsid w:val="002A7054"/>
    <w:rsid w:val="002D66A0"/>
    <w:rsid w:val="002E07AD"/>
    <w:rsid w:val="002F30A3"/>
    <w:rsid w:val="003107E5"/>
    <w:rsid w:val="00320994"/>
    <w:rsid w:val="00340212"/>
    <w:rsid w:val="00370E83"/>
    <w:rsid w:val="00373576"/>
    <w:rsid w:val="003E1BDC"/>
    <w:rsid w:val="00463781"/>
    <w:rsid w:val="00473D5F"/>
    <w:rsid w:val="004B7B6E"/>
    <w:rsid w:val="004D1A29"/>
    <w:rsid w:val="005A2615"/>
    <w:rsid w:val="005A2785"/>
    <w:rsid w:val="005D3F9D"/>
    <w:rsid w:val="00601AE0"/>
    <w:rsid w:val="00603708"/>
    <w:rsid w:val="00620581"/>
    <w:rsid w:val="00686CB5"/>
    <w:rsid w:val="0069078A"/>
    <w:rsid w:val="006933E8"/>
    <w:rsid w:val="006A5663"/>
    <w:rsid w:val="006A756E"/>
    <w:rsid w:val="00722C10"/>
    <w:rsid w:val="00724819"/>
    <w:rsid w:val="007570A6"/>
    <w:rsid w:val="007775C6"/>
    <w:rsid w:val="007B37C8"/>
    <w:rsid w:val="007F38E6"/>
    <w:rsid w:val="00821425"/>
    <w:rsid w:val="008267F3"/>
    <w:rsid w:val="00830674"/>
    <w:rsid w:val="00840C7E"/>
    <w:rsid w:val="00851F99"/>
    <w:rsid w:val="008656EC"/>
    <w:rsid w:val="00892E34"/>
    <w:rsid w:val="008C185E"/>
    <w:rsid w:val="008F43CE"/>
    <w:rsid w:val="008F7D54"/>
    <w:rsid w:val="0093049D"/>
    <w:rsid w:val="00933126"/>
    <w:rsid w:val="00940022"/>
    <w:rsid w:val="00981B35"/>
    <w:rsid w:val="00986F75"/>
    <w:rsid w:val="009A49B8"/>
    <w:rsid w:val="009B057B"/>
    <w:rsid w:val="009D0D65"/>
    <w:rsid w:val="009E4054"/>
    <w:rsid w:val="00A03C74"/>
    <w:rsid w:val="00A215C9"/>
    <w:rsid w:val="00A2765E"/>
    <w:rsid w:val="00A27762"/>
    <w:rsid w:val="00A36778"/>
    <w:rsid w:val="00A446BC"/>
    <w:rsid w:val="00A61B54"/>
    <w:rsid w:val="00AD599B"/>
    <w:rsid w:val="00AE5F25"/>
    <w:rsid w:val="00AF6A64"/>
    <w:rsid w:val="00B00B78"/>
    <w:rsid w:val="00B76629"/>
    <w:rsid w:val="00B848B7"/>
    <w:rsid w:val="00C3057D"/>
    <w:rsid w:val="00C52B5E"/>
    <w:rsid w:val="00C65B2B"/>
    <w:rsid w:val="00C7407A"/>
    <w:rsid w:val="00CB4C66"/>
    <w:rsid w:val="00CB55AD"/>
    <w:rsid w:val="00CF4D3A"/>
    <w:rsid w:val="00D01020"/>
    <w:rsid w:val="00D126E9"/>
    <w:rsid w:val="00D3076E"/>
    <w:rsid w:val="00D47BD9"/>
    <w:rsid w:val="00D644F5"/>
    <w:rsid w:val="00D957B8"/>
    <w:rsid w:val="00DD6D31"/>
    <w:rsid w:val="00DF720D"/>
    <w:rsid w:val="00E64C72"/>
    <w:rsid w:val="00E73D61"/>
    <w:rsid w:val="00EA48AE"/>
    <w:rsid w:val="00EB54C8"/>
    <w:rsid w:val="00F13736"/>
    <w:rsid w:val="00F13BC0"/>
    <w:rsid w:val="00F2776C"/>
    <w:rsid w:val="00F41910"/>
    <w:rsid w:val="00F87931"/>
    <w:rsid w:val="00FC16B9"/>
    <w:rsid w:val="00FC2627"/>
    <w:rsid w:val="00FC6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D9D3A2"/>
  <w15:chartTrackingRefBased/>
  <w15:docId w15:val="{CA3D0032-D445-4FBB-BC48-33A71D22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D31"/>
    <w:pPr>
      <w:spacing w:after="200" w:line="264" w:lineRule="auto"/>
    </w:pPr>
    <w:rPr>
      <w:sz w:val="20"/>
    </w:rPr>
  </w:style>
  <w:style w:type="paragraph" w:styleId="Titre1">
    <w:name w:val="heading 1"/>
    <w:basedOn w:val="Normal"/>
    <w:next w:val="Normal"/>
    <w:link w:val="Titre1Car"/>
    <w:uiPriority w:val="9"/>
    <w:qFormat/>
    <w:rsid w:val="00185D20"/>
    <w:pPr>
      <w:keepNext/>
      <w:keepLines/>
      <w:pBdr>
        <w:bottom w:val="single" w:sz="8" w:space="1" w:color="366E55" w:themeColor="accent1" w:themeShade="BF"/>
      </w:pBdr>
      <w:spacing w:before="480" w:after="120"/>
      <w:outlineLvl w:val="0"/>
    </w:pPr>
    <w:rPr>
      <w:rFonts w:ascii="Calibri Light" w:eastAsiaTheme="majorEastAsia" w:hAnsi="Calibri Light" w:cstheme="majorBidi"/>
      <w:b/>
      <w:color w:val="366E55" w:themeColor="accent1" w:themeShade="BF"/>
      <w:sz w:val="40"/>
      <w:szCs w:val="32"/>
    </w:rPr>
  </w:style>
  <w:style w:type="paragraph" w:styleId="Titre2">
    <w:name w:val="heading 2"/>
    <w:basedOn w:val="Normal"/>
    <w:next w:val="Normal"/>
    <w:link w:val="Titre2Car"/>
    <w:uiPriority w:val="9"/>
    <w:unhideWhenUsed/>
    <w:qFormat/>
    <w:rsid w:val="00185D20"/>
    <w:pPr>
      <w:keepNext/>
      <w:keepLines/>
      <w:spacing w:before="520" w:after="120"/>
      <w:outlineLvl w:val="1"/>
    </w:pPr>
    <w:rPr>
      <w:rFonts w:asciiTheme="majorHAnsi" w:eastAsiaTheme="majorEastAsia" w:hAnsiTheme="majorHAnsi" w:cstheme="majorBidi"/>
      <w:color w:val="366E55" w:themeColor="accent1" w:themeShade="BF"/>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5D20"/>
    <w:rPr>
      <w:rFonts w:ascii="Calibri Light" w:eastAsiaTheme="majorEastAsia" w:hAnsi="Calibri Light" w:cstheme="majorBidi"/>
      <w:b/>
      <w:color w:val="366E55" w:themeColor="accent1" w:themeShade="BF"/>
      <w:sz w:val="40"/>
      <w:szCs w:val="32"/>
    </w:rPr>
  </w:style>
  <w:style w:type="paragraph" w:styleId="Sansinterligne">
    <w:name w:val="No Spacing"/>
    <w:uiPriority w:val="1"/>
    <w:rsid w:val="002D66A0"/>
    <w:pPr>
      <w:spacing w:after="0" w:line="240" w:lineRule="auto"/>
    </w:pPr>
  </w:style>
  <w:style w:type="paragraph" w:styleId="En-tte">
    <w:name w:val="header"/>
    <w:basedOn w:val="Normal"/>
    <w:link w:val="En-tteCar"/>
    <w:unhideWhenUsed/>
    <w:rsid w:val="002D66A0"/>
    <w:pPr>
      <w:tabs>
        <w:tab w:val="center" w:pos="4536"/>
        <w:tab w:val="right" w:pos="9072"/>
      </w:tabs>
      <w:spacing w:after="0" w:line="240" w:lineRule="auto"/>
    </w:pPr>
    <w:rPr>
      <w:rFonts w:ascii="Arial" w:hAnsi="Arial" w:cs="Arial"/>
    </w:rPr>
  </w:style>
  <w:style w:type="character" w:customStyle="1" w:styleId="En-tteCar">
    <w:name w:val="En-tête Car"/>
    <w:basedOn w:val="Policepardfaut"/>
    <w:link w:val="En-tte"/>
    <w:rsid w:val="002D66A0"/>
    <w:rPr>
      <w:rFonts w:ascii="Arial" w:hAnsi="Arial" w:cs="Arial"/>
      <w:sz w:val="20"/>
    </w:rPr>
  </w:style>
  <w:style w:type="paragraph" w:styleId="Pieddepage">
    <w:name w:val="footer"/>
    <w:basedOn w:val="Normal"/>
    <w:link w:val="PieddepageCar"/>
    <w:uiPriority w:val="99"/>
    <w:unhideWhenUsed/>
    <w:rsid w:val="002D66A0"/>
    <w:pPr>
      <w:tabs>
        <w:tab w:val="center" w:pos="4536"/>
        <w:tab w:val="right" w:pos="9072"/>
      </w:tabs>
      <w:spacing w:after="0" w:line="240" w:lineRule="auto"/>
    </w:pPr>
    <w:rPr>
      <w:rFonts w:ascii="Arial" w:hAnsi="Arial" w:cs="Arial"/>
    </w:rPr>
  </w:style>
  <w:style w:type="character" w:customStyle="1" w:styleId="PieddepageCar">
    <w:name w:val="Pied de page Car"/>
    <w:basedOn w:val="Policepardfaut"/>
    <w:link w:val="Pieddepage"/>
    <w:uiPriority w:val="99"/>
    <w:rsid w:val="002D66A0"/>
    <w:rPr>
      <w:rFonts w:ascii="Arial" w:hAnsi="Arial" w:cs="Arial"/>
      <w:sz w:val="20"/>
    </w:rPr>
  </w:style>
  <w:style w:type="table" w:styleId="Grilledutableau">
    <w:name w:val="Table Grid"/>
    <w:basedOn w:val="TableauNormal"/>
    <w:uiPriority w:val="59"/>
    <w:rsid w:val="002D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D66A0"/>
    <w:rPr>
      <w:color w:val="42A6DE" w:themeColor="hyperlink"/>
      <w:u w:val="single"/>
    </w:rPr>
  </w:style>
  <w:style w:type="character" w:styleId="Rfrencelgre">
    <w:name w:val="Subtle Reference"/>
    <w:basedOn w:val="Policepardfaut"/>
    <w:uiPriority w:val="31"/>
    <w:qFormat/>
    <w:rsid w:val="002D66A0"/>
    <w:rPr>
      <w:caps w:val="0"/>
      <w:smallCaps w:val="0"/>
      <w:color w:val="5A5A5A" w:themeColor="text1" w:themeTint="A5"/>
    </w:rPr>
  </w:style>
  <w:style w:type="paragraph" w:styleId="Paragraphedeliste">
    <w:name w:val="List Paragraph"/>
    <w:basedOn w:val="Normal"/>
    <w:uiPriority w:val="34"/>
    <w:qFormat/>
    <w:rsid w:val="00A2765E"/>
    <w:pPr>
      <w:ind w:left="720"/>
      <w:contextualSpacing/>
    </w:pPr>
  </w:style>
  <w:style w:type="character" w:customStyle="1" w:styleId="Titre2Car">
    <w:name w:val="Titre 2 Car"/>
    <w:basedOn w:val="Policepardfaut"/>
    <w:link w:val="Titre2"/>
    <w:uiPriority w:val="9"/>
    <w:rsid w:val="00185D20"/>
    <w:rPr>
      <w:rFonts w:asciiTheme="majorHAnsi" w:eastAsiaTheme="majorEastAsia" w:hAnsiTheme="majorHAnsi" w:cstheme="majorBidi"/>
      <w:color w:val="366E55" w:themeColor="accent1" w:themeShade="BF"/>
      <w:sz w:val="28"/>
      <w:szCs w:val="26"/>
    </w:rPr>
  </w:style>
  <w:style w:type="paragraph" w:styleId="Sous-titre">
    <w:name w:val="Subtitle"/>
    <w:basedOn w:val="Normal"/>
    <w:next w:val="Normal"/>
    <w:link w:val="Sous-titreCar"/>
    <w:uiPriority w:val="11"/>
    <w:qFormat/>
    <w:rsid w:val="000751C7"/>
    <w:pPr>
      <w:numPr>
        <w:ilvl w:val="1"/>
      </w:numPr>
      <w:spacing w:before="120" w:after="120"/>
    </w:pPr>
    <w:rPr>
      <w:rFonts w:eastAsiaTheme="minorEastAsia"/>
      <w:color w:val="353FB1" w:themeColor="background2"/>
      <w:spacing w:val="15"/>
      <w:sz w:val="24"/>
    </w:rPr>
  </w:style>
  <w:style w:type="character" w:customStyle="1" w:styleId="Sous-titreCar">
    <w:name w:val="Sous-titre Car"/>
    <w:basedOn w:val="Policepardfaut"/>
    <w:link w:val="Sous-titre"/>
    <w:uiPriority w:val="11"/>
    <w:rsid w:val="000751C7"/>
    <w:rPr>
      <w:rFonts w:eastAsiaTheme="minorEastAsia"/>
      <w:color w:val="353FB1" w:themeColor="background2"/>
      <w:spacing w:val="15"/>
      <w:sz w:val="24"/>
    </w:rPr>
  </w:style>
  <w:style w:type="character" w:styleId="Accentuationlgre">
    <w:name w:val="Subtle Emphasis"/>
    <w:basedOn w:val="Policepardfaut"/>
    <w:uiPriority w:val="19"/>
    <w:qFormat/>
    <w:rsid w:val="000751C7"/>
    <w:rPr>
      <w:rFonts w:asciiTheme="minorHAnsi" w:hAnsiTheme="minorHAnsi"/>
      <w:i/>
      <w:iCs/>
      <w:color w:val="404040" w:themeColor="text1" w:themeTint="BF"/>
      <w:sz w:val="18"/>
    </w:rPr>
  </w:style>
  <w:style w:type="paragraph" w:customStyle="1" w:styleId="Default">
    <w:name w:val="Default"/>
    <w:rsid w:val="00C3057D"/>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Textedebulles">
    <w:name w:val="Balloon Text"/>
    <w:basedOn w:val="Normal"/>
    <w:link w:val="TextedebullesCar"/>
    <w:uiPriority w:val="99"/>
    <w:semiHidden/>
    <w:unhideWhenUsed/>
    <w:rsid w:val="003735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576"/>
    <w:rPr>
      <w:rFonts w:ascii="Segoe UI" w:hAnsi="Segoe UI" w:cs="Segoe UI"/>
      <w:sz w:val="18"/>
      <w:szCs w:val="18"/>
    </w:rPr>
  </w:style>
  <w:style w:type="character" w:styleId="Mentionnonrsolue">
    <w:name w:val="Unresolved Mention"/>
    <w:basedOn w:val="Policepardfaut"/>
    <w:uiPriority w:val="99"/>
    <w:semiHidden/>
    <w:unhideWhenUsed/>
    <w:rsid w:val="00CF4D3A"/>
    <w:rPr>
      <w:color w:val="605E5C"/>
      <w:shd w:val="clear" w:color="auto" w:fill="E1DFDD"/>
    </w:rPr>
  </w:style>
  <w:style w:type="character" w:styleId="Lienhypertextesuivivisit">
    <w:name w:val="FollowedHyperlink"/>
    <w:basedOn w:val="Policepardfaut"/>
    <w:uiPriority w:val="99"/>
    <w:semiHidden/>
    <w:unhideWhenUsed/>
    <w:rsid w:val="003E1BDC"/>
    <w:rPr>
      <w:color w:val="D7B84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agogie.ac-aix-marseille.fr/jcms/c_10376004/fr/ulis-lp-organisation-en-reseau?hlText=ulis+L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edagogie.ac-aix-marseille.fr/jcms/c_10510897/fr/evaluation-des-competences-professionnelles?hlText=livret+de+comp%C3%A9tences" TargetMode="External"/><Relationship Id="rId4" Type="http://schemas.openxmlformats.org/officeDocument/2006/relationships/settings" Target="settings.xml"/><Relationship Id="rId9" Type="http://schemas.openxmlformats.org/officeDocument/2006/relationships/hyperlink" Target="https://www.pedagogie.ac-aix-marseille.fr/jcms/c_10971056/fr/convention-de-cooperation-entre-un-etablissement-ou-un-service-medico-social-ou-un-etablissement-de-sante-et-un-etablissement-d-enseignement-scolaire?id=c_10971056&amp;preview=tru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IRAEP-1 sept 21">
  <a:themeElements>
    <a:clrScheme name="MIRAEP 2020">
      <a:dk1>
        <a:srgbClr val="000000"/>
      </a:dk1>
      <a:lt1>
        <a:srgbClr val="FFFFFF"/>
      </a:lt1>
      <a:dk2>
        <a:srgbClr val="FF7802"/>
      </a:dk2>
      <a:lt2>
        <a:srgbClr val="353FB1"/>
      </a:lt2>
      <a:accent1>
        <a:srgbClr val="489372"/>
      </a:accent1>
      <a:accent2>
        <a:srgbClr val="D7B848"/>
      </a:accent2>
      <a:accent3>
        <a:srgbClr val="EB616A"/>
      </a:accent3>
      <a:accent4>
        <a:srgbClr val="EB3B02"/>
      </a:accent4>
      <a:accent5>
        <a:srgbClr val="42A6DE"/>
      </a:accent5>
      <a:accent6>
        <a:srgbClr val="1292AB"/>
      </a:accent6>
      <a:hlink>
        <a:srgbClr val="42A6DE"/>
      </a:hlink>
      <a:folHlink>
        <a:srgbClr val="D7B84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RAEP-1 sept 21" id="{FB089015-00A1-43E7-B3A8-7395FEB60F0C}" vid="{B9325B0E-86AF-49E4-9789-A40931E3FA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82EA42AA-E7CF-4E7F-8EBA-58231E1E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1948</Words>
  <Characters>10715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Panitskas</dc:creator>
  <cp:keywords/>
  <dc:description/>
  <cp:lastModifiedBy>Daniele Ursenbach</cp:lastModifiedBy>
  <cp:revision>4</cp:revision>
  <cp:lastPrinted>2023-01-09T09:29:00Z</cp:lastPrinted>
  <dcterms:created xsi:type="dcterms:W3CDTF">2023-12-05T21:01:00Z</dcterms:created>
  <dcterms:modified xsi:type="dcterms:W3CDTF">2024-01-08T10:30:00Z</dcterms:modified>
</cp:coreProperties>
</file>